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6738" w14:textId="7102B88C" w:rsidR="004B4ACB" w:rsidRDefault="004B4ACB" w:rsidP="00337B05">
      <w:pPr>
        <w:spacing w:before="37"/>
        <w:ind w:right="-60"/>
        <w:jc w:val="center"/>
        <w:rPr>
          <w:rFonts w:ascii="Calibri"/>
          <w:b/>
          <w:u w:val="single"/>
        </w:rPr>
      </w:pPr>
      <w:r>
        <w:rPr>
          <w:rFonts w:ascii="Calibri"/>
          <w:b/>
          <w:u w:val="single"/>
        </w:rPr>
        <w:t>SCHEDULE A</w:t>
      </w:r>
    </w:p>
    <w:p w14:paraId="37464833" w14:textId="0E837226" w:rsidR="00257C2C" w:rsidRDefault="00F700D0" w:rsidP="00337B05">
      <w:pPr>
        <w:spacing w:before="37"/>
        <w:ind w:right="-60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 xml:space="preserve">Draft </w:t>
      </w:r>
      <w:r w:rsidR="009E2D12">
        <w:rPr>
          <w:rFonts w:ascii="Calibri"/>
          <w:b/>
          <w:u w:val="single"/>
        </w:rPr>
        <w:t>Inclusionary Zoning</w:t>
      </w:r>
      <w:r w:rsidR="004F525F">
        <w:rPr>
          <w:rFonts w:ascii="Calibri"/>
          <w:b/>
          <w:u w:val="single"/>
        </w:rPr>
        <w:t xml:space="preserve"> Policy</w:t>
      </w:r>
    </w:p>
    <w:p w14:paraId="68373C07" w14:textId="77777777" w:rsidR="004F525F" w:rsidRDefault="004F525F" w:rsidP="00B51A53">
      <w:pPr>
        <w:spacing w:line="267" w:lineRule="exact"/>
        <w:ind w:left="120"/>
        <w:jc w:val="both"/>
        <w:rPr>
          <w:rFonts w:ascii="Calibri" w:hAnsi="Calibri"/>
          <w:b/>
        </w:rPr>
      </w:pPr>
    </w:p>
    <w:p w14:paraId="5F3F0C6F" w14:textId="541626A9" w:rsidR="004F525F" w:rsidRPr="004F525F" w:rsidRDefault="004F525F" w:rsidP="00B51A53">
      <w:pPr>
        <w:spacing w:after="120"/>
        <w:ind w:left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Article 1, </w:t>
      </w:r>
      <w:r w:rsidR="009E2D12">
        <w:rPr>
          <w:rFonts w:ascii="Calibri" w:hAnsi="Calibri"/>
          <w:b/>
        </w:rPr>
        <w:t xml:space="preserve">§ </w:t>
      </w:r>
      <w:r w:rsidR="00C550F5">
        <w:rPr>
          <w:rFonts w:ascii="Calibri" w:hAnsi="Calibri"/>
          <w:b/>
        </w:rPr>
        <w:t>1</w:t>
      </w:r>
      <w:r w:rsidR="009E2D12">
        <w:rPr>
          <w:rFonts w:ascii="Calibri" w:hAnsi="Calibri"/>
          <w:b/>
        </w:rPr>
        <w:t xml:space="preserve"> – Definitions </w:t>
      </w:r>
      <w:r>
        <w:rPr>
          <w:rFonts w:ascii="Calibri" w:hAnsi="Calibri"/>
          <w:b/>
        </w:rPr>
        <w:t>[</w:t>
      </w:r>
      <w:r w:rsidR="00AF1544">
        <w:rPr>
          <w:rFonts w:ascii="Calibri" w:hAnsi="Calibri"/>
          <w:b/>
        </w:rPr>
        <w:t>T</w:t>
      </w:r>
      <w:r>
        <w:rPr>
          <w:rFonts w:ascii="Calibri" w:hAnsi="Calibri"/>
          <w:b/>
        </w:rPr>
        <w:t>o be</w:t>
      </w:r>
      <w:r w:rsidR="00AF1544">
        <w:rPr>
          <w:rFonts w:ascii="Calibri" w:hAnsi="Calibri"/>
          <w:b/>
        </w:rPr>
        <w:t xml:space="preserve"> modified and</w:t>
      </w:r>
      <w:r w:rsidR="00A43892">
        <w:rPr>
          <w:rFonts w:ascii="Calibri" w:hAnsi="Calibri"/>
          <w:b/>
        </w:rPr>
        <w:t>/or</w:t>
      </w:r>
      <w:r>
        <w:rPr>
          <w:rFonts w:ascii="Calibri" w:hAnsi="Calibri"/>
          <w:b/>
        </w:rPr>
        <w:t xml:space="preserve"> added to Section 1 in alphabetical order].</w:t>
      </w:r>
    </w:p>
    <w:p w14:paraId="6A4CB5D8" w14:textId="52876037" w:rsidR="00257C2C" w:rsidRDefault="0095181C" w:rsidP="00337B05">
      <w:pPr>
        <w:spacing w:after="120"/>
        <w:ind w:left="840" w:right="30"/>
        <w:jc w:val="both"/>
        <w:rPr>
          <w:rFonts w:ascii="Calibri"/>
        </w:rPr>
      </w:pPr>
      <w:r w:rsidRPr="0095181C">
        <w:rPr>
          <w:rFonts w:asciiTheme="minorHAnsi" w:hAnsiTheme="minorHAnsi" w:cstheme="minorHAnsi"/>
          <w:b/>
        </w:rPr>
        <w:t>“</w:t>
      </w:r>
      <w:r w:rsidR="009E2D12" w:rsidRPr="0095181C">
        <w:rPr>
          <w:rFonts w:asciiTheme="minorHAnsi" w:hAnsiTheme="minorHAnsi" w:cstheme="minorHAnsi"/>
          <w:b/>
        </w:rPr>
        <w:t>AFFORDABLE HOUSIN</w:t>
      </w:r>
      <w:r w:rsidRPr="0095181C">
        <w:rPr>
          <w:rFonts w:asciiTheme="minorHAnsi" w:hAnsiTheme="minorHAnsi" w:cstheme="minorHAnsi"/>
          <w:b/>
        </w:rPr>
        <w:t>G”</w:t>
      </w:r>
      <w:r w:rsidR="009E2D12">
        <w:rPr>
          <w:rFonts w:ascii="Calibri"/>
          <w:b/>
        </w:rPr>
        <w:t xml:space="preserve"> </w:t>
      </w:r>
      <w:r w:rsidR="00FB28B4">
        <w:rPr>
          <w:rFonts w:ascii="Calibri"/>
          <w:b/>
        </w:rPr>
        <w:t xml:space="preserve">or </w:t>
      </w:r>
      <w:r w:rsidR="00FB28B4">
        <w:rPr>
          <w:rFonts w:ascii="Calibri"/>
          <w:b/>
        </w:rPr>
        <w:t>“</w:t>
      </w:r>
      <w:r w:rsidR="00FB28B4">
        <w:rPr>
          <w:rFonts w:ascii="Calibri"/>
          <w:b/>
        </w:rPr>
        <w:t>AFFORDABLE UNIT</w:t>
      </w:r>
      <w:r w:rsidR="00FB28B4">
        <w:rPr>
          <w:rFonts w:ascii="Calibri"/>
          <w:b/>
        </w:rPr>
        <w:t>”</w:t>
      </w:r>
      <w:r w:rsidR="00FB28B4">
        <w:rPr>
          <w:rFonts w:ascii="Calibri"/>
          <w:b/>
        </w:rPr>
        <w:t xml:space="preserve"> </w:t>
      </w:r>
      <w:r w:rsidR="009E2D12">
        <w:rPr>
          <w:rFonts w:ascii="Calibri"/>
        </w:rPr>
        <w:t xml:space="preserve">means residential housing, which is restricted for occupancy </w:t>
      </w:r>
      <w:r w:rsidR="009E2D12">
        <w:rPr>
          <w:rFonts w:ascii="Calibri"/>
          <w:spacing w:val="-3"/>
        </w:rPr>
        <w:t xml:space="preserve">by </w:t>
      </w:r>
      <w:r w:rsidR="009E2D12">
        <w:rPr>
          <w:rFonts w:ascii="Calibri"/>
        </w:rPr>
        <w:t>households</w:t>
      </w:r>
      <w:r w:rsidR="009E2D12">
        <w:rPr>
          <w:rFonts w:ascii="Calibri"/>
          <w:spacing w:val="-6"/>
        </w:rPr>
        <w:t xml:space="preserve"> </w:t>
      </w:r>
      <w:r w:rsidR="001D09BF">
        <w:rPr>
          <w:rFonts w:ascii="Calibri"/>
        </w:rPr>
        <w:t xml:space="preserve">that have a </w:t>
      </w:r>
      <w:r w:rsidR="009E2D12">
        <w:rPr>
          <w:rFonts w:ascii="Calibri"/>
        </w:rPr>
        <w:t>combined</w:t>
      </w:r>
      <w:r w:rsidR="009E2D12">
        <w:rPr>
          <w:rFonts w:ascii="Calibri"/>
          <w:spacing w:val="-1"/>
        </w:rPr>
        <w:t xml:space="preserve"> </w:t>
      </w:r>
      <w:r w:rsidR="001D09BF">
        <w:rPr>
          <w:rFonts w:ascii="Calibri"/>
          <w:spacing w:val="-1"/>
        </w:rPr>
        <w:t xml:space="preserve">total </w:t>
      </w:r>
      <w:r w:rsidR="009E2D12">
        <w:rPr>
          <w:rFonts w:ascii="Calibri"/>
        </w:rPr>
        <w:t>annual</w:t>
      </w:r>
      <w:r w:rsidR="009E2D12">
        <w:rPr>
          <w:rFonts w:ascii="Calibri"/>
          <w:spacing w:val="-1"/>
        </w:rPr>
        <w:t xml:space="preserve"> </w:t>
      </w:r>
      <w:r w:rsidR="009E2D12">
        <w:rPr>
          <w:rFonts w:ascii="Calibri"/>
        </w:rPr>
        <w:t>income</w:t>
      </w:r>
      <w:r w:rsidR="009E2D12">
        <w:rPr>
          <w:rFonts w:ascii="Calibri"/>
          <w:spacing w:val="-3"/>
        </w:rPr>
        <w:t xml:space="preserve"> </w:t>
      </w:r>
      <w:r w:rsidR="009E2D12">
        <w:rPr>
          <w:rFonts w:ascii="Calibri"/>
        </w:rPr>
        <w:t>for</w:t>
      </w:r>
      <w:r w:rsidR="009E2D12">
        <w:rPr>
          <w:rFonts w:ascii="Calibri"/>
          <w:spacing w:val="-2"/>
        </w:rPr>
        <w:t xml:space="preserve"> </w:t>
      </w:r>
      <w:r w:rsidR="009E2D12">
        <w:rPr>
          <w:rFonts w:ascii="Calibri"/>
        </w:rPr>
        <w:t>all</w:t>
      </w:r>
      <w:r w:rsidR="009E2D12">
        <w:rPr>
          <w:rFonts w:ascii="Calibri"/>
          <w:spacing w:val="-4"/>
        </w:rPr>
        <w:t xml:space="preserve"> </w:t>
      </w:r>
      <w:r w:rsidR="009E2D12">
        <w:rPr>
          <w:rFonts w:ascii="Calibri"/>
        </w:rPr>
        <w:t>members</w:t>
      </w:r>
      <w:r w:rsidR="009E2D12">
        <w:rPr>
          <w:rFonts w:ascii="Calibri"/>
          <w:spacing w:val="-1"/>
        </w:rPr>
        <w:t xml:space="preserve"> </w:t>
      </w:r>
      <w:r w:rsidR="00775E9B">
        <w:rPr>
          <w:rFonts w:ascii="Calibri"/>
          <w:spacing w:val="-1"/>
        </w:rPr>
        <w:t xml:space="preserve">that </w:t>
      </w:r>
      <w:r w:rsidR="009E2D12">
        <w:rPr>
          <w:rFonts w:ascii="Calibri"/>
        </w:rPr>
        <w:t>does</w:t>
      </w:r>
      <w:r w:rsidR="009E2D12">
        <w:rPr>
          <w:rFonts w:ascii="Calibri"/>
          <w:spacing w:val="-3"/>
        </w:rPr>
        <w:t xml:space="preserve"> </w:t>
      </w:r>
      <w:r w:rsidR="009E2D12">
        <w:rPr>
          <w:rFonts w:ascii="Calibri"/>
        </w:rPr>
        <w:t>not</w:t>
      </w:r>
      <w:r w:rsidR="009E2D12">
        <w:rPr>
          <w:rFonts w:ascii="Calibri"/>
          <w:spacing w:val="-3"/>
        </w:rPr>
        <w:t xml:space="preserve"> </w:t>
      </w:r>
      <w:r w:rsidR="009E2D12" w:rsidRPr="00D75411">
        <w:rPr>
          <w:rFonts w:ascii="Calibri"/>
        </w:rPr>
        <w:t>exceed</w:t>
      </w:r>
      <w:r w:rsidR="009E2D12" w:rsidRPr="00D75411">
        <w:rPr>
          <w:rFonts w:ascii="Calibri"/>
          <w:spacing w:val="-5"/>
        </w:rPr>
        <w:t xml:space="preserve"> </w:t>
      </w:r>
      <w:r w:rsidR="00F50185">
        <w:rPr>
          <w:rFonts w:ascii="Calibri"/>
        </w:rPr>
        <w:t>a</w:t>
      </w:r>
      <w:r w:rsidR="00E073CF">
        <w:rPr>
          <w:rFonts w:ascii="Calibri"/>
        </w:rPr>
        <w:t xml:space="preserve"> designated</w:t>
      </w:r>
      <w:r w:rsidR="009E2D12" w:rsidRPr="00D75411">
        <w:rPr>
          <w:rFonts w:ascii="Calibri"/>
        </w:rPr>
        <w:t xml:space="preserve"> </w:t>
      </w:r>
      <w:r w:rsidR="00731883" w:rsidRPr="00D75411">
        <w:rPr>
          <w:rFonts w:ascii="Calibri"/>
        </w:rPr>
        <w:t xml:space="preserve">area </w:t>
      </w:r>
      <w:r w:rsidR="009E2D12" w:rsidRPr="00D75411">
        <w:rPr>
          <w:rFonts w:ascii="Calibri"/>
        </w:rPr>
        <w:t>median</w:t>
      </w:r>
      <w:r w:rsidR="009E2D12">
        <w:rPr>
          <w:rFonts w:ascii="Calibri"/>
        </w:rPr>
        <w:t xml:space="preserve"> income</w:t>
      </w:r>
      <w:r w:rsidR="00E46B08">
        <w:rPr>
          <w:rFonts w:ascii="Calibri"/>
        </w:rPr>
        <w:t xml:space="preserve"> (AMI)</w:t>
      </w:r>
      <w:r w:rsidR="00731883">
        <w:rPr>
          <w:rFonts w:ascii="Calibri"/>
        </w:rPr>
        <w:t xml:space="preserve"> as defined by HUD</w:t>
      </w:r>
      <w:r w:rsidR="009E2D12">
        <w:rPr>
          <w:rFonts w:ascii="Calibri"/>
        </w:rPr>
        <w:t>. This term refer</w:t>
      </w:r>
      <w:r w:rsidR="000419AF">
        <w:rPr>
          <w:rFonts w:ascii="Calibri"/>
        </w:rPr>
        <w:t>s</w:t>
      </w:r>
      <w:r w:rsidR="009E2D12">
        <w:rPr>
          <w:rFonts w:ascii="Calibri"/>
        </w:rPr>
        <w:t xml:space="preserve"> to the broad </w:t>
      </w:r>
      <w:proofErr w:type="gramStart"/>
      <w:r w:rsidR="009E2D12">
        <w:rPr>
          <w:rFonts w:ascii="Calibri"/>
        </w:rPr>
        <w:t>classification, and</w:t>
      </w:r>
      <w:proofErr w:type="gramEnd"/>
      <w:r w:rsidR="009E2D12">
        <w:rPr>
          <w:rFonts w:ascii="Calibri"/>
        </w:rPr>
        <w:t xml:space="preserve"> </w:t>
      </w:r>
      <w:r w:rsidR="001D09BF">
        <w:rPr>
          <w:rFonts w:ascii="Calibri"/>
        </w:rPr>
        <w:t xml:space="preserve">should </w:t>
      </w:r>
      <w:r w:rsidR="009E2D12">
        <w:rPr>
          <w:rFonts w:ascii="Calibri"/>
        </w:rPr>
        <w:t>not be confused with more specific terms that define different income</w:t>
      </w:r>
      <w:r w:rsidR="009E2D12">
        <w:rPr>
          <w:rFonts w:ascii="Calibri"/>
          <w:spacing w:val="-2"/>
        </w:rPr>
        <w:t xml:space="preserve"> </w:t>
      </w:r>
      <w:r w:rsidR="009E2D12">
        <w:rPr>
          <w:rFonts w:ascii="Calibri"/>
        </w:rPr>
        <w:t>divisions.</w:t>
      </w:r>
    </w:p>
    <w:p w14:paraId="76669913" w14:textId="750DCD27" w:rsidR="00387251" w:rsidRDefault="00387251" w:rsidP="003F1BEE">
      <w:pPr>
        <w:spacing w:after="120"/>
        <w:ind w:left="840" w:right="30"/>
        <w:rPr>
          <w:rFonts w:ascii="Calibri"/>
          <w:b/>
          <w:highlight w:val="yellow"/>
        </w:rPr>
      </w:pPr>
      <w:r>
        <w:rPr>
          <w:rFonts w:ascii="Calibri"/>
          <w:b/>
        </w:rPr>
        <w:t xml:space="preserve">AREA MEDIAN INCOME </w:t>
      </w:r>
      <w:r>
        <w:rPr>
          <w:rFonts w:ascii="Calibri"/>
        </w:rPr>
        <w:t>means the median income by household size for New Haven County, as adopted by HUD.</w:t>
      </w:r>
    </w:p>
    <w:p w14:paraId="3A244219" w14:textId="100DB797" w:rsidR="00DE31E3" w:rsidRDefault="00DE31E3" w:rsidP="003F1BEE">
      <w:pPr>
        <w:spacing w:after="120"/>
        <w:ind w:left="840" w:right="30"/>
        <w:rPr>
          <w:rFonts w:asciiTheme="minorHAnsi" w:hAnsiTheme="minorHAnsi" w:cstheme="minorHAnsi"/>
          <w:b/>
          <w:bCs/>
          <w:color w:val="313335"/>
          <w:spacing w:val="2"/>
          <w:shd w:val="clear" w:color="auto" w:fill="FFFFFF"/>
        </w:rPr>
      </w:pPr>
      <w:r w:rsidRPr="00657301">
        <w:rPr>
          <w:rFonts w:ascii="Calibri"/>
          <w:b/>
        </w:rPr>
        <w:t xml:space="preserve">AVERAGE GROSS FLOOR AREA PER DWELLING UNIT </w:t>
      </w:r>
      <w:r w:rsidRPr="00657301">
        <w:rPr>
          <w:rFonts w:ascii="Calibri"/>
          <w:bCs/>
        </w:rPr>
        <w:t xml:space="preserve">means the gross floor area of the principal building or buildings divided by the total number of </w:t>
      </w:r>
      <w:r w:rsidR="00EB1D6F">
        <w:rPr>
          <w:rFonts w:ascii="Calibri"/>
          <w:bCs/>
        </w:rPr>
        <w:t xml:space="preserve">housing </w:t>
      </w:r>
      <w:r w:rsidRPr="00657301">
        <w:rPr>
          <w:rFonts w:ascii="Calibri"/>
          <w:bCs/>
        </w:rPr>
        <w:t>units</w:t>
      </w:r>
      <w:r w:rsidRPr="00153FD1">
        <w:rPr>
          <w:rFonts w:ascii="Calibri"/>
          <w:bCs/>
        </w:rPr>
        <w:t xml:space="preserve"> in the </w:t>
      </w:r>
      <w:r w:rsidR="00906168">
        <w:rPr>
          <w:rFonts w:ascii="Calibri"/>
          <w:bCs/>
        </w:rPr>
        <w:t>i</w:t>
      </w:r>
      <w:r w:rsidR="00634A12" w:rsidRPr="00153FD1">
        <w:rPr>
          <w:rFonts w:ascii="Calibri"/>
          <w:bCs/>
        </w:rPr>
        <w:t xml:space="preserve">nclusionary </w:t>
      </w:r>
      <w:r w:rsidR="00906168">
        <w:rPr>
          <w:rFonts w:ascii="Calibri"/>
          <w:bCs/>
        </w:rPr>
        <w:t>d</w:t>
      </w:r>
      <w:r w:rsidR="00634A12" w:rsidRPr="00153FD1">
        <w:rPr>
          <w:rFonts w:ascii="Calibri"/>
          <w:bCs/>
        </w:rPr>
        <w:t>evelopment.</w:t>
      </w:r>
    </w:p>
    <w:p w14:paraId="744BD5F5" w14:textId="7E811C36" w:rsidR="008A318C" w:rsidRDefault="008A318C" w:rsidP="003F1BEE">
      <w:pPr>
        <w:spacing w:after="120"/>
        <w:ind w:left="840" w:right="30"/>
        <w:rPr>
          <w:rFonts w:asciiTheme="minorHAnsi" w:hAnsiTheme="minorHAnsi" w:cstheme="minorHAnsi"/>
          <w:color w:val="313335"/>
          <w:spacing w:val="2"/>
          <w:shd w:val="clear" w:color="auto" w:fill="FFFFFF"/>
        </w:rPr>
      </w:pPr>
      <w:r w:rsidRPr="008D1165">
        <w:rPr>
          <w:rFonts w:asciiTheme="minorHAnsi" w:hAnsiTheme="minorHAnsi" w:cstheme="minorHAnsi"/>
          <w:b/>
          <w:bCs/>
          <w:color w:val="313335"/>
          <w:spacing w:val="2"/>
          <w:shd w:val="clear" w:color="auto" w:fill="FFFFFF"/>
        </w:rPr>
        <w:t>ELDERLY HOUSING UNIT</w:t>
      </w:r>
      <w:r w:rsidR="009A5496">
        <w:rPr>
          <w:rFonts w:asciiTheme="minorHAnsi" w:hAnsiTheme="minorHAnsi" w:cstheme="minorHAnsi"/>
          <w:color w:val="313335"/>
          <w:spacing w:val="2"/>
          <w:shd w:val="clear" w:color="auto" w:fill="FFFFFF"/>
        </w:rPr>
        <w:t xml:space="preserve"> means a </w:t>
      </w:r>
      <w:r w:rsidRPr="008A318C">
        <w:rPr>
          <w:rFonts w:asciiTheme="minorHAnsi" w:hAnsiTheme="minorHAnsi" w:cstheme="minorHAnsi"/>
          <w:color w:val="313335"/>
          <w:spacing w:val="2"/>
          <w:shd w:val="clear" w:color="auto" w:fill="FFFFFF"/>
        </w:rPr>
        <w:t>dwelling unit specifically designed for the needs of an elderly person or persons, and conforming to the requirements of state and/or federal programs providing for housing for the elderly</w:t>
      </w:r>
      <w:r w:rsidR="009A5496">
        <w:rPr>
          <w:rFonts w:asciiTheme="minorHAnsi" w:hAnsiTheme="minorHAnsi" w:cstheme="minorHAnsi"/>
          <w:color w:val="313335"/>
          <w:spacing w:val="2"/>
          <w:shd w:val="clear" w:color="auto" w:fill="FFFFFF"/>
        </w:rPr>
        <w:t xml:space="preserve"> and deed restricted as such. Elder Housing Units may be in the context of Senior Living Facilities or independent from a larger facility.</w:t>
      </w:r>
    </w:p>
    <w:p w14:paraId="5154FC4E" w14:textId="2E8304B5" w:rsidR="003F1BEE" w:rsidRPr="008D1165" w:rsidRDefault="003F1BEE" w:rsidP="008D1165">
      <w:pPr>
        <w:spacing w:after="120"/>
        <w:ind w:left="840" w:right="30"/>
        <w:rPr>
          <w:rFonts w:asciiTheme="minorHAnsi" w:hAnsiTheme="minorHAnsi" w:cstheme="minorHAnsi"/>
          <w:b/>
        </w:rPr>
      </w:pPr>
      <w:r w:rsidRPr="008D1165">
        <w:rPr>
          <w:rFonts w:asciiTheme="minorHAnsi" w:hAnsiTheme="minorHAnsi" w:cstheme="minorHAnsi"/>
          <w:b/>
          <w:bCs/>
          <w:color w:val="313335"/>
          <w:spacing w:val="2"/>
          <w:shd w:val="clear" w:color="auto" w:fill="FFFFFF"/>
        </w:rPr>
        <w:t xml:space="preserve">FLOOR AREA </w:t>
      </w:r>
      <w:r w:rsidRPr="00AF1544">
        <w:rPr>
          <w:rFonts w:asciiTheme="minorHAnsi" w:hAnsiTheme="minorHAnsi" w:cstheme="minorHAnsi"/>
          <w:b/>
          <w:bCs/>
          <w:spacing w:val="2"/>
          <w:shd w:val="clear" w:color="auto" w:fill="FFFFFF"/>
        </w:rPr>
        <w:t>RATIO</w:t>
      </w:r>
      <w:r w:rsidRPr="00AF1544">
        <w:rPr>
          <w:rFonts w:asciiTheme="minorHAnsi" w:hAnsiTheme="minorHAnsi" w:cstheme="minorHAnsi"/>
          <w:spacing w:val="2"/>
          <w:shd w:val="clear" w:color="auto" w:fill="FFFFFF"/>
        </w:rPr>
        <w:t xml:space="preserve"> </w:t>
      </w:r>
      <w:r w:rsidR="00E20AC7" w:rsidRPr="00657301">
        <w:rPr>
          <w:rFonts w:asciiTheme="minorHAnsi" w:hAnsiTheme="minorHAnsi" w:cstheme="minorHAnsi"/>
          <w:spacing w:val="2"/>
          <w:shd w:val="clear" w:color="auto" w:fill="FFFFFF"/>
        </w:rPr>
        <w:t>or “</w:t>
      </w:r>
      <w:r w:rsidR="00E20AC7" w:rsidRPr="00657301">
        <w:rPr>
          <w:rFonts w:asciiTheme="minorHAnsi" w:hAnsiTheme="minorHAnsi" w:cstheme="minorHAnsi"/>
          <w:b/>
          <w:bCs/>
          <w:spacing w:val="2"/>
          <w:shd w:val="clear" w:color="auto" w:fill="FFFFFF"/>
        </w:rPr>
        <w:t>FAR</w:t>
      </w:r>
      <w:r w:rsidR="00E20AC7" w:rsidRPr="00657301">
        <w:rPr>
          <w:rFonts w:asciiTheme="minorHAnsi" w:hAnsiTheme="minorHAnsi" w:cstheme="minorHAnsi"/>
          <w:spacing w:val="2"/>
          <w:shd w:val="clear" w:color="auto" w:fill="FFFFFF"/>
        </w:rPr>
        <w:t>”</w:t>
      </w:r>
      <w:r w:rsidR="00E20AC7" w:rsidRPr="00AF1544">
        <w:rPr>
          <w:rFonts w:asciiTheme="minorHAnsi" w:hAnsiTheme="minorHAnsi" w:cstheme="minorHAnsi"/>
          <w:spacing w:val="2"/>
          <w:shd w:val="clear" w:color="auto" w:fill="FFFFFF"/>
        </w:rPr>
        <w:t xml:space="preserve"> me</w:t>
      </w:r>
      <w:r w:rsidR="00E20AC7" w:rsidRPr="00153FD1">
        <w:rPr>
          <w:rFonts w:asciiTheme="minorHAnsi" w:hAnsiTheme="minorHAnsi" w:cstheme="minorHAnsi"/>
          <w:spacing w:val="2"/>
          <w:shd w:val="clear" w:color="auto" w:fill="FFFFFF"/>
        </w:rPr>
        <w:t>ans t</w:t>
      </w:r>
      <w:r w:rsidRPr="00742BD0">
        <w:rPr>
          <w:rFonts w:asciiTheme="minorHAnsi" w:hAnsiTheme="minorHAnsi" w:cstheme="minorHAnsi"/>
          <w:spacing w:val="2"/>
          <w:shd w:val="clear" w:color="auto" w:fill="FFFFFF"/>
        </w:rPr>
        <w:t>he ratio of th</w:t>
      </w:r>
      <w:r w:rsidRPr="00742BD0">
        <w:rPr>
          <w:rFonts w:asciiTheme="minorHAnsi" w:hAnsiTheme="minorHAnsi" w:cstheme="minorHAnsi"/>
          <w:color w:val="313335"/>
          <w:spacing w:val="2"/>
          <w:shd w:val="clear" w:color="auto" w:fill="FFFFFF"/>
        </w:rPr>
        <w:t>e </w:t>
      </w:r>
      <w:r w:rsidRPr="00657301">
        <w:rPr>
          <w:rStyle w:val="bdit"/>
          <w:rFonts w:asciiTheme="minorHAnsi" w:hAnsiTheme="minorHAnsi" w:cstheme="minorHAnsi"/>
          <w:i/>
          <w:iCs/>
          <w:color w:val="313335"/>
          <w:spacing w:val="2"/>
          <w:shd w:val="clear" w:color="auto" w:fill="FFFFFF"/>
        </w:rPr>
        <w:t>gross floor area</w:t>
      </w:r>
      <w:r w:rsidRPr="00153FD1">
        <w:rPr>
          <w:rFonts w:asciiTheme="minorHAnsi" w:hAnsiTheme="minorHAnsi" w:cstheme="minorHAnsi"/>
          <w:color w:val="313335"/>
          <w:spacing w:val="2"/>
          <w:shd w:val="clear" w:color="auto" w:fill="FFFFFF"/>
        </w:rPr>
        <w:t> </w:t>
      </w:r>
      <w:r w:rsidR="0066760F" w:rsidRPr="00742BD0">
        <w:rPr>
          <w:rFonts w:asciiTheme="minorHAnsi" w:hAnsiTheme="minorHAnsi" w:cstheme="minorHAnsi"/>
          <w:color w:val="313335"/>
          <w:spacing w:val="2"/>
          <w:shd w:val="clear" w:color="auto" w:fill="FFFFFF"/>
        </w:rPr>
        <w:t>of</w:t>
      </w:r>
      <w:r w:rsidRPr="00742BD0">
        <w:rPr>
          <w:rFonts w:asciiTheme="minorHAnsi" w:hAnsiTheme="minorHAnsi" w:cstheme="minorHAnsi"/>
          <w:color w:val="313335"/>
          <w:spacing w:val="2"/>
          <w:shd w:val="clear" w:color="auto" w:fill="FFFFFF"/>
        </w:rPr>
        <w:t xml:space="preserve"> the </w:t>
      </w:r>
      <w:r w:rsidRPr="00657301">
        <w:rPr>
          <w:rStyle w:val="bdit"/>
          <w:rFonts w:asciiTheme="minorHAnsi" w:hAnsiTheme="minorHAnsi" w:cstheme="minorHAnsi"/>
          <w:i/>
          <w:iCs/>
          <w:color w:val="313335"/>
          <w:spacing w:val="2"/>
          <w:shd w:val="clear" w:color="auto" w:fill="FFFFFF"/>
        </w:rPr>
        <w:t>principal building</w:t>
      </w:r>
      <w:r w:rsidRPr="00153FD1">
        <w:rPr>
          <w:rFonts w:asciiTheme="minorHAnsi" w:hAnsiTheme="minorHAnsi" w:cstheme="minorHAnsi"/>
          <w:color w:val="313335"/>
          <w:spacing w:val="2"/>
          <w:shd w:val="clear" w:color="auto" w:fill="FFFFFF"/>
        </w:rPr>
        <w:t> or </w:t>
      </w:r>
      <w:r w:rsidRPr="00657301">
        <w:rPr>
          <w:rStyle w:val="bdit"/>
          <w:rFonts w:asciiTheme="minorHAnsi" w:hAnsiTheme="minorHAnsi" w:cstheme="minorHAnsi"/>
          <w:i/>
          <w:iCs/>
          <w:color w:val="313335"/>
          <w:spacing w:val="2"/>
          <w:shd w:val="clear" w:color="auto" w:fill="FFFFFF"/>
        </w:rPr>
        <w:t>principal buildings</w:t>
      </w:r>
      <w:r w:rsidRPr="00153FD1">
        <w:rPr>
          <w:rFonts w:asciiTheme="minorHAnsi" w:hAnsiTheme="minorHAnsi" w:cstheme="minorHAnsi"/>
          <w:color w:val="313335"/>
          <w:spacing w:val="2"/>
          <w:shd w:val="clear" w:color="auto" w:fill="FFFFFF"/>
        </w:rPr>
        <w:t> on</w:t>
      </w:r>
      <w:r w:rsidRPr="008D1165">
        <w:rPr>
          <w:rFonts w:asciiTheme="minorHAnsi" w:hAnsiTheme="minorHAnsi" w:cstheme="minorHAnsi"/>
          <w:color w:val="313335"/>
          <w:spacing w:val="2"/>
          <w:shd w:val="clear" w:color="auto" w:fill="FFFFFF"/>
        </w:rPr>
        <w:t xml:space="preserve"> a lot to the total lot area.</w:t>
      </w:r>
      <w:r>
        <w:rPr>
          <w:rFonts w:asciiTheme="minorHAnsi" w:hAnsiTheme="minorHAnsi" w:cstheme="minorHAnsi"/>
          <w:color w:val="313335"/>
          <w:spacing w:val="2"/>
          <w:shd w:val="clear" w:color="auto" w:fill="FFFFFF"/>
        </w:rPr>
        <w:t xml:space="preserve"> </w:t>
      </w:r>
    </w:p>
    <w:p w14:paraId="3A9687E9" w14:textId="29021E66" w:rsidR="003C2C09" w:rsidRDefault="0095181C" w:rsidP="00337B05">
      <w:pPr>
        <w:spacing w:after="120"/>
        <w:ind w:left="840" w:right="30"/>
        <w:jc w:val="both"/>
        <w:rPr>
          <w:rFonts w:ascii="Calibri" w:hAnsi="Calibri"/>
        </w:rPr>
      </w:pPr>
      <w:r>
        <w:rPr>
          <w:rFonts w:ascii="Calibri" w:hAnsi="Calibri"/>
          <w:b/>
        </w:rPr>
        <w:t>“</w:t>
      </w:r>
      <w:r w:rsidR="009E2D12">
        <w:rPr>
          <w:rFonts w:ascii="Calibri" w:hAnsi="Calibri"/>
          <w:b/>
        </w:rPr>
        <w:t xml:space="preserve">HUD” </w:t>
      </w:r>
      <w:r w:rsidR="009E2D12">
        <w:rPr>
          <w:rFonts w:ascii="Calibri" w:hAnsi="Calibri"/>
        </w:rPr>
        <w:t>means the United States Department of Housing and Urban Development</w:t>
      </w:r>
      <w:r w:rsidR="003C2C09">
        <w:rPr>
          <w:rFonts w:ascii="Calibri" w:hAnsi="Calibri"/>
        </w:rPr>
        <w:t>.</w:t>
      </w:r>
    </w:p>
    <w:p w14:paraId="1BE900CE" w14:textId="33F46E8C" w:rsidR="00257C2C" w:rsidRDefault="0095181C" w:rsidP="00337B05">
      <w:pPr>
        <w:spacing w:after="120"/>
        <w:ind w:left="840" w:right="30"/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9E2D12">
        <w:rPr>
          <w:rFonts w:ascii="Calibri" w:hAnsi="Calibri"/>
          <w:b/>
        </w:rPr>
        <w:t>INCLUSIONARY DEVELOPMENT</w:t>
      </w:r>
      <w:r>
        <w:rPr>
          <w:rFonts w:ascii="Calibri" w:hAnsi="Calibri"/>
          <w:b/>
        </w:rPr>
        <w:t>”</w:t>
      </w:r>
      <w:r w:rsidR="009E2D12">
        <w:rPr>
          <w:rFonts w:ascii="Calibri" w:hAnsi="Calibri"/>
          <w:b/>
        </w:rPr>
        <w:t xml:space="preserve"> </w:t>
      </w:r>
      <w:r w:rsidR="009E2D12">
        <w:rPr>
          <w:rFonts w:ascii="Calibri" w:hAnsi="Calibri"/>
        </w:rPr>
        <w:t>means a development containing both affordable and market rate units.</w:t>
      </w:r>
    </w:p>
    <w:p w14:paraId="257275A8" w14:textId="4341BB6A" w:rsidR="0095181C" w:rsidRPr="0095181C" w:rsidRDefault="0095181C" w:rsidP="00337B05">
      <w:pPr>
        <w:spacing w:after="120"/>
        <w:ind w:left="840" w:right="3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“IZO” – </w:t>
      </w:r>
      <w:r>
        <w:rPr>
          <w:rFonts w:ascii="Calibri" w:hAnsi="Calibri"/>
          <w:bCs/>
        </w:rPr>
        <w:t>means Inclusionary Zoning Overlay District.</w:t>
      </w:r>
    </w:p>
    <w:p w14:paraId="60CCE52C" w14:textId="618B1FBB" w:rsidR="005C3C1A" w:rsidRPr="005C3C1A" w:rsidRDefault="005C3C1A" w:rsidP="00337B05">
      <w:pPr>
        <w:spacing w:after="120"/>
        <w:ind w:left="840" w:right="30"/>
        <w:jc w:val="both"/>
        <w:rPr>
          <w:rFonts w:ascii="Calibri"/>
          <w:bCs/>
        </w:rPr>
      </w:pPr>
      <w:r>
        <w:rPr>
          <w:rFonts w:ascii="Calibri"/>
          <w:b/>
        </w:rPr>
        <w:t>LARGE</w:t>
      </w:r>
      <w:r w:rsidR="00146851">
        <w:rPr>
          <w:rFonts w:ascii="Calibri"/>
          <w:b/>
        </w:rPr>
        <w:t>-</w:t>
      </w:r>
      <w:r>
        <w:rPr>
          <w:rFonts w:ascii="Calibri"/>
          <w:b/>
        </w:rPr>
        <w:t xml:space="preserve">SCALE INCLUSIONARY DEVELOPMENT </w:t>
      </w:r>
      <w:r>
        <w:rPr>
          <w:rFonts w:ascii="Calibri"/>
          <w:bCs/>
        </w:rPr>
        <w:t xml:space="preserve">means a development anywhere in the City that </w:t>
      </w:r>
      <w:r w:rsidR="00D751FF">
        <w:rPr>
          <w:rFonts w:ascii="Calibri"/>
          <w:bCs/>
        </w:rPr>
        <w:t xml:space="preserve">proposes </w:t>
      </w:r>
      <w:r w:rsidR="001D09BF">
        <w:rPr>
          <w:rFonts w:ascii="Calibri"/>
          <w:bCs/>
        </w:rPr>
        <w:t>seventy-five (</w:t>
      </w:r>
      <w:r w:rsidR="00D751FF">
        <w:rPr>
          <w:rFonts w:ascii="Calibri"/>
          <w:bCs/>
        </w:rPr>
        <w:t>75</w:t>
      </w:r>
      <w:r w:rsidR="001D09BF">
        <w:rPr>
          <w:rFonts w:ascii="Calibri"/>
          <w:bCs/>
        </w:rPr>
        <w:t>)</w:t>
      </w:r>
      <w:r w:rsidR="00D751FF">
        <w:rPr>
          <w:rFonts w:ascii="Calibri"/>
          <w:bCs/>
        </w:rPr>
        <w:t xml:space="preserve"> or more Residential dwelling unit</w:t>
      </w:r>
      <w:r w:rsidR="00B37832">
        <w:rPr>
          <w:rFonts w:ascii="Calibri"/>
          <w:bCs/>
        </w:rPr>
        <w:t>s</w:t>
      </w:r>
      <w:r w:rsidR="00D751FF">
        <w:rPr>
          <w:rFonts w:ascii="Calibri"/>
          <w:bCs/>
        </w:rPr>
        <w:t xml:space="preserve">, which </w:t>
      </w:r>
      <w:r w:rsidR="00B37832">
        <w:rPr>
          <w:rFonts w:ascii="Calibri"/>
          <w:bCs/>
        </w:rPr>
        <w:t xml:space="preserve">is </w:t>
      </w:r>
      <w:r w:rsidR="00D751FF">
        <w:rPr>
          <w:rFonts w:ascii="Calibri"/>
          <w:bCs/>
        </w:rPr>
        <w:t xml:space="preserve">required to be </w:t>
      </w:r>
      <w:r w:rsidR="00B37832">
        <w:rPr>
          <w:rFonts w:ascii="Calibri"/>
          <w:bCs/>
        </w:rPr>
        <w:t xml:space="preserve">an </w:t>
      </w:r>
      <w:r w:rsidR="00D751FF">
        <w:rPr>
          <w:rFonts w:ascii="Calibri"/>
          <w:bCs/>
        </w:rPr>
        <w:t xml:space="preserve">Inclusionary Development </w:t>
      </w:r>
      <w:r w:rsidR="00146851">
        <w:rPr>
          <w:rFonts w:ascii="Calibri"/>
          <w:bCs/>
        </w:rPr>
        <w:t>under the Inclusionary Zoning policy.</w:t>
      </w:r>
    </w:p>
    <w:p w14:paraId="54D09070" w14:textId="57242E8E" w:rsidR="00257C2C" w:rsidRDefault="009E2D12" w:rsidP="00337B05">
      <w:pPr>
        <w:spacing w:after="120"/>
        <w:ind w:left="840" w:right="30"/>
        <w:jc w:val="both"/>
        <w:rPr>
          <w:rFonts w:ascii="Calibri"/>
        </w:rPr>
      </w:pPr>
      <w:r>
        <w:rPr>
          <w:rFonts w:ascii="Calibri"/>
          <w:b/>
        </w:rPr>
        <w:t xml:space="preserve">LOW-INCOME HOUSEHOLD </w:t>
      </w:r>
      <w:r>
        <w:rPr>
          <w:rFonts w:ascii="Calibri"/>
        </w:rPr>
        <w:t xml:space="preserve">means a household in which the combined total annual income for all members of a household does not exceed </w:t>
      </w:r>
      <w:r w:rsidR="00B47BBF">
        <w:rPr>
          <w:rFonts w:ascii="Calibri"/>
        </w:rPr>
        <w:t>fifty</w:t>
      </w:r>
      <w:r w:rsidR="00320BB7">
        <w:rPr>
          <w:rFonts w:ascii="Calibri"/>
        </w:rPr>
        <w:t xml:space="preserve"> percent (</w:t>
      </w:r>
      <w:r>
        <w:rPr>
          <w:rFonts w:ascii="Calibri"/>
        </w:rPr>
        <w:t>50</w:t>
      </w:r>
      <w:r w:rsidR="00320BB7">
        <w:rPr>
          <w:rFonts w:ascii="Calibri"/>
        </w:rPr>
        <w:t>%)</w:t>
      </w:r>
      <w:r>
        <w:rPr>
          <w:rFonts w:ascii="Calibri"/>
        </w:rPr>
        <w:t xml:space="preserve"> of the </w:t>
      </w:r>
      <w:r w:rsidR="00793A7B">
        <w:rPr>
          <w:rFonts w:ascii="Calibri"/>
        </w:rPr>
        <w:t xml:space="preserve">area </w:t>
      </w:r>
      <w:r>
        <w:rPr>
          <w:rFonts w:ascii="Calibri"/>
        </w:rPr>
        <w:t xml:space="preserve">median income. These income limits </w:t>
      </w:r>
      <w:r w:rsidR="005B7C8B">
        <w:rPr>
          <w:rFonts w:ascii="Calibri"/>
        </w:rPr>
        <w:t>are</w:t>
      </w:r>
      <w:r>
        <w:rPr>
          <w:rFonts w:ascii="Calibri"/>
        </w:rPr>
        <w:t xml:space="preserve"> adjusted by household size based on multipliers used by HUD to adjust</w:t>
      </w:r>
      <w:r w:rsidR="00906168">
        <w:rPr>
          <w:rFonts w:ascii="Calibri"/>
        </w:rPr>
        <w:t xml:space="preserve"> area</w:t>
      </w:r>
      <w:r>
        <w:rPr>
          <w:rFonts w:ascii="Calibri"/>
        </w:rPr>
        <w:t xml:space="preserve"> median income by household size. </w:t>
      </w:r>
    </w:p>
    <w:p w14:paraId="2A79AAED" w14:textId="3D706C0F" w:rsidR="00282CF1" w:rsidRDefault="009E2D12" w:rsidP="00153FD1">
      <w:pPr>
        <w:spacing w:after="120"/>
        <w:ind w:left="840" w:right="30"/>
        <w:jc w:val="both"/>
        <w:rPr>
          <w:rFonts w:ascii="Calibri"/>
        </w:rPr>
      </w:pPr>
      <w:r>
        <w:rPr>
          <w:rFonts w:ascii="Calibri"/>
          <w:b/>
        </w:rPr>
        <w:t xml:space="preserve">MARKET-RATE UNITS </w:t>
      </w:r>
      <w:proofErr w:type="gramStart"/>
      <w:r>
        <w:rPr>
          <w:rFonts w:ascii="Calibri"/>
        </w:rPr>
        <w:t>mean</w:t>
      </w:r>
      <w:r w:rsidR="00320BB7">
        <w:rPr>
          <w:rFonts w:ascii="Calibri"/>
        </w:rPr>
        <w:t>s</w:t>
      </w:r>
      <w:proofErr w:type="gramEnd"/>
      <w:r>
        <w:rPr>
          <w:rFonts w:ascii="Calibri"/>
        </w:rPr>
        <w:t xml:space="preserve"> housing not restricted to low-income households that may sell or rent at any price</w:t>
      </w:r>
      <w:r w:rsidR="003F400B">
        <w:rPr>
          <w:rFonts w:ascii="Calibri"/>
        </w:rPr>
        <w:t xml:space="preserve"> that the market may bear.</w:t>
      </w:r>
    </w:p>
    <w:p w14:paraId="6017778B" w14:textId="7929EECE" w:rsidR="00E12A34" w:rsidRDefault="009E2D12" w:rsidP="00337B05">
      <w:pPr>
        <w:spacing w:after="120"/>
        <w:ind w:left="840" w:right="30"/>
        <w:jc w:val="both"/>
        <w:rPr>
          <w:rFonts w:ascii="Calibri"/>
        </w:rPr>
      </w:pPr>
      <w:r>
        <w:rPr>
          <w:rFonts w:ascii="Calibri"/>
          <w:b/>
        </w:rPr>
        <w:t xml:space="preserve">RESTRICTED UNIT </w:t>
      </w:r>
      <w:r>
        <w:rPr>
          <w:rFonts w:ascii="Calibri"/>
        </w:rPr>
        <w:t>means a dwelling unit, whether a rental unit or ownership unit, that is subject to affordability controls.</w:t>
      </w:r>
    </w:p>
    <w:p w14:paraId="58BB593C" w14:textId="4BECDE1F" w:rsidR="00AF5F13" w:rsidRPr="00D8110D" w:rsidRDefault="00AF5F13" w:rsidP="00337B05">
      <w:pPr>
        <w:spacing w:after="120"/>
        <w:ind w:left="840" w:right="30"/>
        <w:jc w:val="both"/>
        <w:rPr>
          <w:rFonts w:ascii="Calibri"/>
        </w:rPr>
      </w:pPr>
      <w:r w:rsidRPr="00AF5F13">
        <w:rPr>
          <w:rFonts w:ascii="Calibri"/>
          <w:b/>
          <w:bCs/>
        </w:rPr>
        <w:t>SENIOR LIVING FACILITIES</w:t>
      </w:r>
      <w:r w:rsidR="00D8110D">
        <w:rPr>
          <w:rFonts w:ascii="Calibri"/>
        </w:rPr>
        <w:t xml:space="preserve"> means assisted living facilities, independent living facilities, </w:t>
      </w:r>
      <w:r w:rsidR="00651FCD">
        <w:rPr>
          <w:rFonts w:ascii="Calibri"/>
        </w:rPr>
        <w:t xml:space="preserve">or group housing for the elderly </w:t>
      </w:r>
      <w:r w:rsidR="00445C5B" w:rsidRPr="00445C5B">
        <w:rPr>
          <w:rFonts w:ascii="Calibri"/>
        </w:rPr>
        <w:t>specifically designed for the needs of an elderly person or persons, and conforming to the requirements of state and/or</w:t>
      </w:r>
      <w:r w:rsidR="0084419E">
        <w:rPr>
          <w:rFonts w:ascii="Calibri"/>
        </w:rPr>
        <w:t xml:space="preserve"> </w:t>
      </w:r>
      <w:r w:rsidR="00445C5B" w:rsidRPr="00445C5B">
        <w:rPr>
          <w:rFonts w:ascii="Calibri"/>
        </w:rPr>
        <w:t>federal programs providing for housing for the elderly</w:t>
      </w:r>
      <w:r w:rsidR="00445C5B">
        <w:rPr>
          <w:rFonts w:ascii="Calibri"/>
        </w:rPr>
        <w:t xml:space="preserve"> and deed restricted as such.</w:t>
      </w:r>
    </w:p>
    <w:p w14:paraId="5ABE084C" w14:textId="56707C24" w:rsidR="00AF5F13" w:rsidRPr="009A2286" w:rsidRDefault="00AF5F13" w:rsidP="00337B05">
      <w:pPr>
        <w:spacing w:after="120"/>
        <w:ind w:left="840" w:right="30"/>
        <w:jc w:val="both"/>
        <w:rPr>
          <w:rFonts w:ascii="Calibri"/>
        </w:rPr>
      </w:pPr>
      <w:r w:rsidRPr="00AF5F13">
        <w:rPr>
          <w:rFonts w:ascii="Calibri"/>
          <w:b/>
          <w:bCs/>
        </w:rPr>
        <w:lastRenderedPageBreak/>
        <w:t>STUDENT HOUSING</w:t>
      </w:r>
      <w:r w:rsidR="009A2286">
        <w:rPr>
          <w:rFonts w:ascii="Calibri"/>
          <w:b/>
          <w:bCs/>
        </w:rPr>
        <w:t xml:space="preserve"> </w:t>
      </w:r>
      <w:r w:rsidR="009A2286">
        <w:rPr>
          <w:rFonts w:ascii="Calibri"/>
        </w:rPr>
        <w:t xml:space="preserve">means a subtype </w:t>
      </w:r>
      <w:r w:rsidR="009A2286" w:rsidRPr="009A2286">
        <w:rPr>
          <w:rFonts w:ascii="Calibri"/>
        </w:rPr>
        <w:t xml:space="preserve">of the multi-family </w:t>
      </w:r>
      <w:r w:rsidR="009A2286">
        <w:rPr>
          <w:rFonts w:ascii="Calibri"/>
        </w:rPr>
        <w:t xml:space="preserve">residential dwelling units </w:t>
      </w:r>
      <w:r w:rsidR="009A2286" w:rsidRPr="009A2286">
        <w:rPr>
          <w:rFonts w:ascii="Calibri"/>
        </w:rPr>
        <w:t>and is characterized as housing principally serving undergraduate or graduate college students.</w:t>
      </w:r>
      <w:r w:rsidR="00505518">
        <w:rPr>
          <w:rFonts w:ascii="Calibri"/>
        </w:rPr>
        <w:t xml:space="preserve"> Student Housing </w:t>
      </w:r>
      <w:r w:rsidR="004A29D4">
        <w:rPr>
          <w:rFonts w:ascii="Calibri"/>
        </w:rPr>
        <w:t xml:space="preserve">is leased by room or bed rather than entire dwelling unit  and </w:t>
      </w:r>
      <w:r w:rsidR="00505518">
        <w:rPr>
          <w:rFonts w:ascii="Calibri"/>
        </w:rPr>
        <w:t>may be on- or off-campus .</w:t>
      </w:r>
      <w:r w:rsidR="00E5130D">
        <w:rPr>
          <w:rFonts w:ascii="Calibri"/>
        </w:rPr>
        <w:t xml:space="preserve"> Student housing is sometimes, but not always, rented for less than 1-year terms or follows an academic calendar schedule.</w:t>
      </w:r>
    </w:p>
    <w:p w14:paraId="506B4FE6" w14:textId="77777777" w:rsidR="00F74C27" w:rsidRDefault="00F74C27" w:rsidP="00B51A53">
      <w:pPr>
        <w:spacing w:after="120"/>
        <w:ind w:left="120"/>
        <w:jc w:val="both"/>
        <w:rPr>
          <w:rFonts w:ascii="Calibri" w:hAnsi="Calibri"/>
          <w:b/>
        </w:rPr>
      </w:pPr>
    </w:p>
    <w:p w14:paraId="79E53E72" w14:textId="52D85615" w:rsidR="00F74C27" w:rsidRDefault="00F74C27" w:rsidP="00B51A53">
      <w:pPr>
        <w:spacing w:after="120"/>
        <w:ind w:left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Article VI. – Other Districts. § 50. – Inclusionary Zoning Overlay Zone. [Move § 50 to Article VI; Delete “Reserved” and replace with the following language in its entirety.]</w:t>
      </w:r>
    </w:p>
    <w:p w14:paraId="2249F2C1" w14:textId="77777777" w:rsidR="00AA636D" w:rsidRPr="00AA636D" w:rsidRDefault="00F74C27" w:rsidP="00AA636D">
      <w:pPr>
        <w:spacing w:after="120"/>
        <w:rPr>
          <w:rFonts w:ascii="Calibri" w:hAnsi="Calibri"/>
        </w:rPr>
      </w:pPr>
      <w:r w:rsidRPr="00AA636D">
        <w:rPr>
          <w:rFonts w:ascii="Calibri" w:hAnsi="Calibri"/>
          <w:b/>
        </w:rPr>
        <w:t>§ 50(a). – Purpose</w:t>
      </w:r>
      <w:r w:rsidR="002F2B6B" w:rsidRPr="00AA636D">
        <w:rPr>
          <w:rFonts w:ascii="Calibri" w:hAnsi="Calibri"/>
          <w:b/>
        </w:rPr>
        <w:t xml:space="preserve">, </w:t>
      </w:r>
      <w:r w:rsidR="0010332E" w:rsidRPr="00AA636D">
        <w:rPr>
          <w:rFonts w:ascii="Calibri" w:hAnsi="Calibri"/>
          <w:b/>
        </w:rPr>
        <w:t>Overlay Area</w:t>
      </w:r>
      <w:r w:rsidR="002F2B6B" w:rsidRPr="00AA636D">
        <w:rPr>
          <w:rFonts w:ascii="Calibri" w:hAnsi="Calibri"/>
          <w:b/>
        </w:rPr>
        <w:t>, &amp; Effective Date</w:t>
      </w:r>
    </w:p>
    <w:p w14:paraId="1FA688BC" w14:textId="558977F7" w:rsidR="00F74C27" w:rsidRDefault="0010332E" w:rsidP="0010332E">
      <w:pPr>
        <w:pStyle w:val="ListParagraph"/>
        <w:numPr>
          <w:ilvl w:val="0"/>
          <w:numId w:val="24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Purpose. </w:t>
      </w:r>
      <w:r w:rsidR="00F74C27" w:rsidRPr="008D1165">
        <w:rPr>
          <w:rFonts w:ascii="Calibri" w:hAnsi="Calibri"/>
        </w:rPr>
        <w:t>The purpose of this ordinance is to create mixed-income housing through new construction</w:t>
      </w:r>
      <w:r w:rsidR="0028356E" w:rsidRPr="008D1165">
        <w:rPr>
          <w:rFonts w:ascii="Calibri" w:hAnsi="Calibri"/>
        </w:rPr>
        <w:t>, conversion or renovation</w:t>
      </w:r>
      <w:r w:rsidR="00F74C27" w:rsidRPr="008D1165">
        <w:rPr>
          <w:rFonts w:ascii="Calibri" w:hAnsi="Calibri"/>
        </w:rPr>
        <w:t xml:space="preserve"> t</w:t>
      </w:r>
      <w:r w:rsidR="00657482">
        <w:rPr>
          <w:rFonts w:ascii="Calibri" w:hAnsi="Calibri"/>
        </w:rPr>
        <w:t>hat</w:t>
      </w:r>
      <w:r w:rsidR="00F74C27" w:rsidRPr="008D1165">
        <w:rPr>
          <w:rFonts w:ascii="Calibri" w:hAnsi="Calibri"/>
        </w:rPr>
        <w:t xml:space="preserve"> assist</w:t>
      </w:r>
      <w:r w:rsidR="00657482">
        <w:rPr>
          <w:rFonts w:ascii="Calibri" w:hAnsi="Calibri"/>
        </w:rPr>
        <w:t>s</w:t>
      </w:r>
      <w:r w:rsidR="00F74C27" w:rsidRPr="008D1165">
        <w:rPr>
          <w:rFonts w:ascii="Calibri" w:hAnsi="Calibri"/>
          <w:spacing w:val="-7"/>
        </w:rPr>
        <w:t xml:space="preserve"> </w:t>
      </w:r>
      <w:r w:rsidR="00F74C27" w:rsidRPr="008D1165">
        <w:rPr>
          <w:rFonts w:ascii="Calibri" w:hAnsi="Calibri"/>
        </w:rPr>
        <w:t>the</w:t>
      </w:r>
      <w:r w:rsidR="00F74C27" w:rsidRPr="008D1165">
        <w:rPr>
          <w:rFonts w:ascii="Calibri" w:hAnsi="Calibri"/>
          <w:spacing w:val="-6"/>
        </w:rPr>
        <w:t xml:space="preserve"> </w:t>
      </w:r>
      <w:r w:rsidR="00F74C27" w:rsidRPr="008D1165">
        <w:rPr>
          <w:rFonts w:ascii="Calibri" w:hAnsi="Calibri"/>
        </w:rPr>
        <w:t>City</w:t>
      </w:r>
      <w:r w:rsidR="00F74C27" w:rsidRPr="008D1165">
        <w:rPr>
          <w:rFonts w:ascii="Calibri" w:hAnsi="Calibri"/>
          <w:spacing w:val="-3"/>
        </w:rPr>
        <w:t xml:space="preserve"> </w:t>
      </w:r>
      <w:r w:rsidR="00F74C27" w:rsidRPr="008D1165">
        <w:rPr>
          <w:rFonts w:ascii="Calibri" w:hAnsi="Calibri"/>
        </w:rPr>
        <w:t>in</w:t>
      </w:r>
      <w:r w:rsidR="00F74C27" w:rsidRPr="008D1165">
        <w:rPr>
          <w:rFonts w:ascii="Calibri" w:hAnsi="Calibri"/>
          <w:spacing w:val="-6"/>
        </w:rPr>
        <w:t xml:space="preserve"> </w:t>
      </w:r>
      <w:r w:rsidR="00F74C27" w:rsidRPr="008D1165">
        <w:rPr>
          <w:rFonts w:ascii="Calibri" w:hAnsi="Calibri"/>
        </w:rPr>
        <w:t>promoting</w:t>
      </w:r>
      <w:r w:rsidR="00F74C27" w:rsidRPr="008D1165">
        <w:rPr>
          <w:rFonts w:ascii="Calibri" w:hAnsi="Calibri"/>
          <w:spacing w:val="-7"/>
        </w:rPr>
        <w:t xml:space="preserve"> </w:t>
      </w:r>
      <w:r w:rsidR="00F74C27" w:rsidRPr="008D1165">
        <w:rPr>
          <w:rFonts w:ascii="Calibri" w:hAnsi="Calibri"/>
        </w:rPr>
        <w:t>the</w:t>
      </w:r>
      <w:r w:rsidR="00F74C27" w:rsidRPr="008D1165">
        <w:rPr>
          <w:rFonts w:ascii="Calibri" w:hAnsi="Calibri"/>
          <w:spacing w:val="-6"/>
        </w:rPr>
        <w:t xml:space="preserve"> </w:t>
      </w:r>
      <w:r w:rsidR="00F74C27" w:rsidRPr="008D1165">
        <w:rPr>
          <w:rFonts w:ascii="Calibri" w:hAnsi="Calibri"/>
        </w:rPr>
        <w:t>creation</w:t>
      </w:r>
      <w:r w:rsidR="00F74C27" w:rsidRPr="008D1165">
        <w:rPr>
          <w:rFonts w:ascii="Calibri" w:hAnsi="Calibri"/>
          <w:spacing w:val="-6"/>
        </w:rPr>
        <w:t xml:space="preserve"> </w:t>
      </w:r>
      <w:r w:rsidR="00F74C27" w:rsidRPr="008D1165">
        <w:rPr>
          <w:rFonts w:ascii="Calibri" w:hAnsi="Calibri"/>
        </w:rPr>
        <w:t>of</w:t>
      </w:r>
      <w:r w:rsidR="00F74C27" w:rsidRPr="008D1165">
        <w:rPr>
          <w:rFonts w:ascii="Calibri" w:hAnsi="Calibri"/>
          <w:spacing w:val="-5"/>
        </w:rPr>
        <w:t xml:space="preserve"> </w:t>
      </w:r>
      <w:r w:rsidR="00F74C27" w:rsidRPr="008D1165">
        <w:rPr>
          <w:rFonts w:ascii="Calibri" w:hAnsi="Calibri"/>
        </w:rPr>
        <w:t>Inclusionary Developments</w:t>
      </w:r>
      <w:r w:rsidR="00F74C27" w:rsidRPr="008D1165">
        <w:rPr>
          <w:rFonts w:ascii="Calibri" w:hAnsi="Calibri"/>
          <w:spacing w:val="-6"/>
        </w:rPr>
        <w:t xml:space="preserve"> </w:t>
      </w:r>
      <w:r w:rsidR="00F74C27" w:rsidRPr="008D1165">
        <w:rPr>
          <w:rFonts w:ascii="Calibri" w:hAnsi="Calibri"/>
        </w:rPr>
        <w:t>and</w:t>
      </w:r>
      <w:r w:rsidR="00F74C27" w:rsidRPr="008D1165">
        <w:rPr>
          <w:rFonts w:ascii="Calibri" w:hAnsi="Calibri"/>
          <w:spacing w:val="-4"/>
        </w:rPr>
        <w:t xml:space="preserve"> </w:t>
      </w:r>
      <w:r w:rsidR="00F74C27" w:rsidRPr="008D1165">
        <w:rPr>
          <w:rFonts w:ascii="Calibri" w:hAnsi="Calibri"/>
        </w:rPr>
        <w:t>Affordable</w:t>
      </w:r>
      <w:r w:rsidR="00F74C27" w:rsidRPr="008D1165">
        <w:rPr>
          <w:rFonts w:ascii="Calibri" w:hAnsi="Calibri"/>
          <w:spacing w:val="-3"/>
        </w:rPr>
        <w:t xml:space="preserve"> </w:t>
      </w:r>
      <w:r w:rsidR="00F74C27" w:rsidRPr="008D1165">
        <w:rPr>
          <w:rFonts w:ascii="Calibri" w:hAnsi="Calibri"/>
        </w:rPr>
        <w:t>Housing</w:t>
      </w:r>
      <w:r w:rsidR="00F74C27" w:rsidRPr="008D1165">
        <w:rPr>
          <w:rFonts w:ascii="Calibri" w:hAnsi="Calibri"/>
          <w:spacing w:val="-4"/>
        </w:rPr>
        <w:t xml:space="preserve"> </w:t>
      </w:r>
      <w:r w:rsidR="00F74C27" w:rsidRPr="008D1165">
        <w:rPr>
          <w:rFonts w:ascii="Calibri" w:hAnsi="Calibri"/>
        </w:rPr>
        <w:t>as the City grows and attracts new market-rate residential</w:t>
      </w:r>
      <w:r w:rsidR="00F74C27" w:rsidRPr="008D1165">
        <w:rPr>
          <w:rFonts w:ascii="Calibri" w:hAnsi="Calibri"/>
          <w:spacing w:val="-5"/>
        </w:rPr>
        <w:t xml:space="preserve"> </w:t>
      </w:r>
      <w:r w:rsidR="00F74C27" w:rsidRPr="008D1165">
        <w:rPr>
          <w:rFonts w:ascii="Calibri" w:hAnsi="Calibri"/>
        </w:rPr>
        <w:t>development. By linking the production of affordable housing to private market development, this inclusionary zoning policy aims to expand the supply of affordable housing. The effect is to foster mixed-income communities and create housing choice in high</w:t>
      </w:r>
      <w:r w:rsidR="0028356E" w:rsidRPr="008D1165">
        <w:rPr>
          <w:rFonts w:ascii="Calibri" w:hAnsi="Calibri"/>
        </w:rPr>
        <w:t>-</w:t>
      </w:r>
      <w:r w:rsidR="00F74C27" w:rsidRPr="008D1165">
        <w:rPr>
          <w:rFonts w:ascii="Calibri" w:hAnsi="Calibri"/>
        </w:rPr>
        <w:t xml:space="preserve">opportunity areas. </w:t>
      </w:r>
      <w:r w:rsidR="00110A84" w:rsidRPr="008D1165">
        <w:rPr>
          <w:rFonts w:ascii="Calibri" w:hAnsi="Calibri"/>
        </w:rPr>
        <w:t xml:space="preserve">This policy </w:t>
      </w:r>
      <w:r w:rsidR="00835A37">
        <w:rPr>
          <w:rFonts w:ascii="Calibri" w:hAnsi="Calibri"/>
        </w:rPr>
        <w:t xml:space="preserve">will support the </w:t>
      </w:r>
      <w:r w:rsidR="00110A84" w:rsidRPr="008D1165">
        <w:rPr>
          <w:rFonts w:ascii="Calibri" w:hAnsi="Calibri"/>
        </w:rPr>
        <w:t>provi</w:t>
      </w:r>
      <w:r w:rsidR="00835A37">
        <w:rPr>
          <w:rFonts w:ascii="Calibri" w:hAnsi="Calibri"/>
        </w:rPr>
        <w:t>sion of</w:t>
      </w:r>
      <w:r w:rsidR="00110A84" w:rsidRPr="008D1165">
        <w:rPr>
          <w:rFonts w:ascii="Calibri" w:hAnsi="Calibri"/>
        </w:rPr>
        <w:t xml:space="preserve"> safe and affordable housing options in areas of opportunity, especially for communities that have been historically marginalized, including low-income and communities of color.</w:t>
      </w:r>
    </w:p>
    <w:p w14:paraId="7E26D7DC" w14:textId="512F799D" w:rsidR="0010332E" w:rsidRDefault="0010332E" w:rsidP="00316804">
      <w:pPr>
        <w:pStyle w:val="ListParagraph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Mapped area. </w:t>
      </w:r>
      <w:r w:rsidRPr="00CF628C">
        <w:rPr>
          <w:rFonts w:ascii="Calibri" w:hAnsi="Calibri"/>
        </w:rPr>
        <w:t xml:space="preserve">The boundaries of the </w:t>
      </w:r>
      <w:r w:rsidR="009A3311">
        <w:rPr>
          <w:rFonts w:ascii="Calibri" w:hAnsi="Calibri"/>
        </w:rPr>
        <w:t xml:space="preserve">IZO and its </w:t>
      </w:r>
      <w:r w:rsidRPr="00CF628C">
        <w:rPr>
          <w:rFonts w:ascii="Calibri" w:hAnsi="Calibri"/>
        </w:rPr>
        <w:t xml:space="preserve">tiered areas </w:t>
      </w:r>
      <w:r>
        <w:rPr>
          <w:rFonts w:ascii="Calibri" w:hAnsi="Calibri"/>
        </w:rPr>
        <w:t>are</w:t>
      </w:r>
      <w:r w:rsidRPr="00CF628C">
        <w:rPr>
          <w:rFonts w:ascii="Calibri" w:hAnsi="Calibri"/>
        </w:rPr>
        <w:t xml:space="preserve"> established on the map entitled “INCLUSIONARY ZONING: </w:t>
      </w:r>
      <w:r>
        <w:rPr>
          <w:rFonts w:ascii="Calibri" w:hAnsi="Calibri"/>
        </w:rPr>
        <w:t xml:space="preserve">Overlay District and Markets for </w:t>
      </w:r>
      <w:r w:rsidRPr="00CF628C">
        <w:rPr>
          <w:rFonts w:ascii="Calibri" w:hAnsi="Calibri"/>
        </w:rPr>
        <w:t>Payment</w:t>
      </w:r>
      <w:r w:rsidRPr="00CF628C">
        <w:rPr>
          <w:rFonts w:ascii="Calibri" w:hAnsi="Calibri"/>
          <w:spacing w:val="-20"/>
        </w:rPr>
        <w:t xml:space="preserve"> </w:t>
      </w:r>
      <w:r w:rsidRPr="00CF628C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CF628C">
        <w:rPr>
          <w:rFonts w:ascii="Calibri" w:hAnsi="Calibri"/>
        </w:rPr>
        <w:t xml:space="preserve">Lieu of Creating Affordable Housing.” The </w:t>
      </w:r>
      <w:r>
        <w:rPr>
          <w:rFonts w:ascii="Calibri" w:hAnsi="Calibri"/>
        </w:rPr>
        <w:t xml:space="preserve">City Plan </w:t>
      </w:r>
      <w:r w:rsidR="00F638CF">
        <w:rPr>
          <w:rFonts w:ascii="Calibri" w:hAnsi="Calibri"/>
        </w:rPr>
        <w:t xml:space="preserve">Commission will prepare </w:t>
      </w:r>
      <w:r w:rsidRPr="00CF628C">
        <w:rPr>
          <w:rFonts w:ascii="Calibri" w:hAnsi="Calibri"/>
        </w:rPr>
        <w:t>update</w:t>
      </w:r>
      <w:r w:rsidR="00F638CF">
        <w:rPr>
          <w:rFonts w:ascii="Calibri" w:hAnsi="Calibri"/>
        </w:rPr>
        <w:t xml:space="preserve">s to </w:t>
      </w:r>
      <w:r w:rsidRPr="00CF628C">
        <w:rPr>
          <w:rFonts w:ascii="Calibri" w:hAnsi="Calibri"/>
        </w:rPr>
        <w:t xml:space="preserve"> this map </w:t>
      </w:r>
      <w:r w:rsidR="009A3311">
        <w:rPr>
          <w:rFonts w:ascii="Calibri" w:hAnsi="Calibri"/>
        </w:rPr>
        <w:t xml:space="preserve">every 3 years (together with the </w:t>
      </w:r>
      <w:r w:rsidR="00D37A50">
        <w:rPr>
          <w:rFonts w:ascii="Calibri" w:hAnsi="Calibri"/>
        </w:rPr>
        <w:t>in-lieu fee</w:t>
      </w:r>
      <w:r w:rsidR="00924775">
        <w:rPr>
          <w:rFonts w:ascii="Calibri" w:hAnsi="Calibri"/>
        </w:rPr>
        <w:t xml:space="preserve"> schedule</w:t>
      </w:r>
      <w:r w:rsidR="00D37A50">
        <w:rPr>
          <w:rFonts w:ascii="Calibri" w:hAnsi="Calibri"/>
        </w:rPr>
        <w:t>)</w:t>
      </w:r>
      <w:r w:rsidRPr="00CF628C">
        <w:rPr>
          <w:rFonts w:ascii="Calibri" w:hAnsi="Calibri"/>
        </w:rPr>
        <w:t xml:space="preserve"> to properly represent current housing </w:t>
      </w:r>
      <w:r>
        <w:rPr>
          <w:rFonts w:ascii="Calibri" w:hAnsi="Calibri"/>
        </w:rPr>
        <w:t>markets</w:t>
      </w:r>
      <w:r w:rsidRPr="00CF628C">
        <w:rPr>
          <w:rFonts w:ascii="Calibri" w:hAnsi="Calibri"/>
        </w:rPr>
        <w:t xml:space="preserve">. The map </w:t>
      </w:r>
      <w:r>
        <w:rPr>
          <w:rFonts w:ascii="Calibri" w:hAnsi="Calibri"/>
        </w:rPr>
        <w:t>is</w:t>
      </w:r>
      <w:r w:rsidRPr="00CF628C">
        <w:rPr>
          <w:rFonts w:ascii="Calibri" w:hAnsi="Calibri"/>
        </w:rPr>
        <w:t xml:space="preserve"> </w:t>
      </w:r>
      <w:r w:rsidR="00F8490F">
        <w:rPr>
          <w:rFonts w:ascii="Calibri" w:hAnsi="Calibri"/>
        </w:rPr>
        <w:t xml:space="preserve">available in the </w:t>
      </w:r>
      <w:r w:rsidR="00751294">
        <w:rPr>
          <w:rFonts w:ascii="Calibri" w:hAnsi="Calibri"/>
        </w:rPr>
        <w:t xml:space="preserve">New Haven </w:t>
      </w:r>
      <w:r w:rsidR="00F8490F">
        <w:rPr>
          <w:rFonts w:ascii="Calibri" w:hAnsi="Calibri"/>
        </w:rPr>
        <w:t xml:space="preserve">Affordable Housing Manual and is </w:t>
      </w:r>
      <w:r w:rsidRPr="00CF628C">
        <w:rPr>
          <w:rFonts w:ascii="Calibri" w:hAnsi="Calibri"/>
        </w:rPr>
        <w:t xml:space="preserve">on file and available for public inspection with the </w:t>
      </w:r>
      <w:r>
        <w:rPr>
          <w:rFonts w:ascii="Calibri" w:hAnsi="Calibri"/>
        </w:rPr>
        <w:t>City Plan Department and the Livable City Initiative (as staff to the Affordable Housing Commission)</w:t>
      </w:r>
      <w:r w:rsidRPr="00CF628C">
        <w:rPr>
          <w:rFonts w:ascii="Calibri" w:hAnsi="Calibri"/>
        </w:rPr>
        <w:t>.</w:t>
      </w:r>
      <w:r w:rsidR="00094706">
        <w:rPr>
          <w:rFonts w:ascii="Calibri" w:hAnsi="Calibri"/>
        </w:rPr>
        <w:t xml:space="preserve"> The IZO is comprised of two sub-districts:</w:t>
      </w:r>
    </w:p>
    <w:p w14:paraId="22256F5F" w14:textId="344A25B7" w:rsidR="00094706" w:rsidRDefault="00094706" w:rsidP="00094706">
      <w:pPr>
        <w:pStyle w:val="ListParagraph"/>
        <w:numPr>
          <w:ilvl w:val="1"/>
          <w:numId w:val="24"/>
        </w:numPr>
        <w:spacing w:after="120" w:line="276" w:lineRule="auto"/>
        <w:ind w:left="1440" w:hanging="720"/>
        <w:rPr>
          <w:rFonts w:ascii="Calibri" w:hAnsi="Calibri"/>
        </w:rPr>
      </w:pPr>
      <w:r>
        <w:rPr>
          <w:rFonts w:ascii="Calibri" w:hAnsi="Calibri"/>
        </w:rPr>
        <w:t>Core Market.</w:t>
      </w:r>
      <w:r w:rsidR="006A35CF">
        <w:rPr>
          <w:rFonts w:ascii="Calibri" w:hAnsi="Calibri"/>
        </w:rPr>
        <w:t xml:space="preserve"> The Core Market </w:t>
      </w:r>
      <w:r w:rsidR="006A35CF" w:rsidRPr="006A35CF">
        <w:rPr>
          <w:rFonts w:ascii="Calibri" w:hAnsi="Calibri"/>
        </w:rPr>
        <w:t>represent</w:t>
      </w:r>
      <w:r w:rsidR="006A35CF">
        <w:rPr>
          <w:rFonts w:ascii="Calibri" w:hAnsi="Calibri"/>
        </w:rPr>
        <w:t>s</w:t>
      </w:r>
      <w:r w:rsidR="006A35CF" w:rsidRPr="006A35CF">
        <w:rPr>
          <w:rFonts w:ascii="Calibri" w:hAnsi="Calibri"/>
        </w:rPr>
        <w:t xml:space="preserve"> locations where </w:t>
      </w:r>
      <w:proofErr w:type="gramStart"/>
      <w:r w:rsidR="006A35CF" w:rsidRPr="006A35CF">
        <w:rPr>
          <w:rFonts w:ascii="Calibri" w:hAnsi="Calibri"/>
        </w:rPr>
        <w:t>the majority of</w:t>
      </w:r>
      <w:proofErr w:type="gramEnd"/>
      <w:r w:rsidR="006A35CF">
        <w:rPr>
          <w:rFonts w:ascii="Calibri" w:hAnsi="Calibri"/>
        </w:rPr>
        <w:t xml:space="preserve"> </w:t>
      </w:r>
      <w:r w:rsidR="006A35CF" w:rsidRPr="006A35CF">
        <w:rPr>
          <w:rFonts w:ascii="Calibri" w:hAnsi="Calibri"/>
        </w:rPr>
        <w:t>new market-rate development is occurring today, rents are highest</w:t>
      </w:r>
      <w:r w:rsidR="006A35CF">
        <w:rPr>
          <w:rFonts w:ascii="Calibri" w:hAnsi="Calibri"/>
        </w:rPr>
        <w:t>, and where the majority of new market rate development is anticipated</w:t>
      </w:r>
      <w:r w:rsidR="009A095B">
        <w:rPr>
          <w:rFonts w:ascii="Calibri" w:hAnsi="Calibri"/>
        </w:rPr>
        <w:t>.</w:t>
      </w:r>
    </w:p>
    <w:p w14:paraId="16E9D579" w14:textId="6E75DB63" w:rsidR="00094706" w:rsidRDefault="00EA1EEC" w:rsidP="00EA1EEC">
      <w:pPr>
        <w:pStyle w:val="ListParagraph"/>
        <w:numPr>
          <w:ilvl w:val="1"/>
          <w:numId w:val="24"/>
        </w:numPr>
        <w:spacing w:after="120" w:line="276" w:lineRule="auto"/>
        <w:ind w:left="1440" w:hanging="720"/>
        <w:rPr>
          <w:rFonts w:ascii="Calibri" w:hAnsi="Calibri"/>
        </w:rPr>
      </w:pPr>
      <w:r>
        <w:rPr>
          <w:rFonts w:ascii="Calibri" w:hAnsi="Calibri"/>
        </w:rPr>
        <w:t>Strong Market.</w:t>
      </w:r>
      <w:r w:rsidR="009A095B">
        <w:rPr>
          <w:rFonts w:ascii="Calibri" w:hAnsi="Calibri"/>
        </w:rPr>
        <w:t xml:space="preserve"> The Strong Market </w:t>
      </w:r>
      <w:r w:rsidR="009A095B" w:rsidRPr="009A095B">
        <w:rPr>
          <w:rFonts w:ascii="Calibri" w:hAnsi="Calibri"/>
        </w:rPr>
        <w:t>represent</w:t>
      </w:r>
      <w:r w:rsidR="009A095B">
        <w:rPr>
          <w:rFonts w:ascii="Calibri" w:hAnsi="Calibri"/>
        </w:rPr>
        <w:t>s</w:t>
      </w:r>
      <w:r w:rsidR="009A095B" w:rsidRPr="009A095B">
        <w:rPr>
          <w:rFonts w:ascii="Calibri" w:hAnsi="Calibri"/>
        </w:rPr>
        <w:t xml:space="preserve"> areas </w:t>
      </w:r>
      <w:r w:rsidR="009A095B">
        <w:rPr>
          <w:rFonts w:ascii="Calibri" w:hAnsi="Calibri"/>
        </w:rPr>
        <w:t>that</w:t>
      </w:r>
      <w:r w:rsidR="009A095B" w:rsidRPr="009A095B">
        <w:rPr>
          <w:rFonts w:ascii="Calibri" w:hAnsi="Calibri"/>
        </w:rPr>
        <w:t xml:space="preserve"> have potential to support new market-rate development today</w:t>
      </w:r>
      <w:r w:rsidR="009A095B">
        <w:rPr>
          <w:rFonts w:ascii="Calibri" w:hAnsi="Calibri"/>
        </w:rPr>
        <w:t xml:space="preserve"> and in the immediate future</w:t>
      </w:r>
      <w:r w:rsidR="009A095B" w:rsidRPr="009A095B">
        <w:rPr>
          <w:rFonts w:ascii="Calibri" w:hAnsi="Calibri"/>
        </w:rPr>
        <w:t>.</w:t>
      </w:r>
    </w:p>
    <w:p w14:paraId="742DB777" w14:textId="61FECC82" w:rsidR="002F2B6B" w:rsidRPr="00EA1EEC" w:rsidRDefault="002F2B6B" w:rsidP="00EB2427">
      <w:pPr>
        <w:pStyle w:val="ListParagraph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Effective Date of this Section will be upon the creation of the Affordable Housing Trust Fund or the </w:t>
      </w:r>
      <w:r w:rsidR="00EB2427">
        <w:rPr>
          <w:rFonts w:ascii="Calibri" w:hAnsi="Calibri"/>
        </w:rPr>
        <w:t>published notice of this Section’s passage, whichever is later.</w:t>
      </w:r>
      <w:r w:rsidR="00AA636D">
        <w:rPr>
          <w:rFonts w:ascii="Calibri" w:hAnsi="Calibri"/>
        </w:rPr>
        <w:t>[</w:t>
      </w:r>
      <w:r w:rsidR="00AA636D" w:rsidRPr="00AA636D">
        <w:rPr>
          <w:rFonts w:ascii="Calibri" w:hAnsi="Calibri"/>
          <w:highlight w:val="yellow"/>
        </w:rPr>
        <w:t xml:space="preserve">We will need to assess the City’s </w:t>
      </w:r>
      <w:r w:rsidR="005F0AAC">
        <w:rPr>
          <w:rFonts w:ascii="Calibri" w:hAnsi="Calibri"/>
          <w:highlight w:val="yellow"/>
        </w:rPr>
        <w:t xml:space="preserve">administrative and financial </w:t>
      </w:r>
      <w:r w:rsidR="00AA636D" w:rsidRPr="00AA636D">
        <w:rPr>
          <w:rFonts w:ascii="Calibri" w:hAnsi="Calibri"/>
          <w:highlight w:val="yellow"/>
        </w:rPr>
        <w:t>ability to take payment in-lieu and adjust the Effective Date accordingly.</w:t>
      </w:r>
      <w:r w:rsidR="00AA636D">
        <w:rPr>
          <w:rFonts w:ascii="Calibri" w:hAnsi="Calibri"/>
        </w:rPr>
        <w:t>]</w:t>
      </w:r>
    </w:p>
    <w:p w14:paraId="07095C0B" w14:textId="77777777" w:rsidR="00E12A34" w:rsidRDefault="00E12A34" w:rsidP="00B51A53">
      <w:pPr>
        <w:spacing w:after="120"/>
        <w:ind w:left="119" w:right="114"/>
        <w:jc w:val="both"/>
        <w:rPr>
          <w:rFonts w:ascii="Calibri" w:hAnsi="Calibri"/>
          <w:b/>
        </w:rPr>
      </w:pPr>
    </w:p>
    <w:p w14:paraId="6555755C" w14:textId="68BBFFD3" w:rsidR="00257C2C" w:rsidRDefault="009E2D12" w:rsidP="00B51A53">
      <w:pPr>
        <w:spacing w:after="120"/>
        <w:ind w:left="119" w:right="11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F04666">
        <w:rPr>
          <w:rFonts w:ascii="Calibri" w:hAnsi="Calibri"/>
          <w:b/>
        </w:rPr>
        <w:t>5</w:t>
      </w:r>
      <w:r w:rsidR="00A3495B">
        <w:rPr>
          <w:rFonts w:ascii="Calibri" w:hAnsi="Calibri"/>
          <w:b/>
        </w:rPr>
        <w:t>0</w:t>
      </w:r>
      <w:r w:rsidR="00F04666">
        <w:rPr>
          <w:rFonts w:ascii="Calibri" w:hAnsi="Calibri"/>
          <w:b/>
        </w:rPr>
        <w:t>(b)</w:t>
      </w:r>
      <w:r>
        <w:rPr>
          <w:rFonts w:ascii="Calibri" w:hAnsi="Calibri"/>
          <w:b/>
        </w:rPr>
        <w:t>. - Set-Aside</w:t>
      </w:r>
      <w:r w:rsidR="00372737">
        <w:rPr>
          <w:rFonts w:ascii="Calibri" w:hAnsi="Calibri"/>
          <w:b/>
        </w:rPr>
        <w:t xml:space="preserve"> of Affordable Housing</w:t>
      </w:r>
      <w:r>
        <w:rPr>
          <w:rFonts w:ascii="Calibri" w:hAnsi="Calibri"/>
          <w:b/>
        </w:rPr>
        <w:t>.</w:t>
      </w:r>
    </w:p>
    <w:p w14:paraId="1A84459B" w14:textId="0D6417AE" w:rsidR="00257C2C" w:rsidRDefault="009E2D12" w:rsidP="00B51A53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0" w:after="120"/>
        <w:ind w:hanging="480"/>
        <w:rPr>
          <w:rFonts w:ascii="Calibri"/>
        </w:rPr>
      </w:pPr>
      <w:r>
        <w:rPr>
          <w:rFonts w:ascii="Calibri"/>
        </w:rPr>
        <w:t>Applicability</w:t>
      </w:r>
      <w:r w:rsidR="00F26944">
        <w:rPr>
          <w:rFonts w:ascii="Calibri"/>
        </w:rPr>
        <w:t xml:space="preserve"> (herein referred to as </w:t>
      </w:r>
      <w:r w:rsidR="00F26944">
        <w:rPr>
          <w:rFonts w:ascii="Calibri"/>
        </w:rPr>
        <w:t>“</w:t>
      </w:r>
      <w:r w:rsidR="00F26944">
        <w:rPr>
          <w:rFonts w:ascii="Calibri"/>
        </w:rPr>
        <w:t xml:space="preserve">Applicable </w:t>
      </w:r>
      <w:r w:rsidR="006A7C23">
        <w:rPr>
          <w:rFonts w:ascii="Calibri"/>
        </w:rPr>
        <w:t>Developments</w:t>
      </w:r>
      <w:r w:rsidR="00F26944">
        <w:rPr>
          <w:rFonts w:ascii="Calibri"/>
        </w:rPr>
        <w:t>”</w:t>
      </w:r>
      <w:r w:rsidR="00F26944">
        <w:rPr>
          <w:rFonts w:ascii="Calibri"/>
        </w:rPr>
        <w:t>).</w:t>
      </w:r>
      <w:r w:rsidR="005B39A6">
        <w:rPr>
          <w:rFonts w:ascii="Calibri"/>
        </w:rPr>
        <w:t xml:space="preserve"> </w:t>
      </w:r>
      <w:r w:rsidR="00603274">
        <w:rPr>
          <w:rFonts w:ascii="Calibri"/>
        </w:rPr>
        <w:t xml:space="preserve">This Section applies </w:t>
      </w:r>
      <w:r w:rsidR="005B39A6">
        <w:rPr>
          <w:rFonts w:ascii="Calibri"/>
        </w:rPr>
        <w:t>to all new construction and any rehabilitation, conversion</w:t>
      </w:r>
      <w:r w:rsidR="000F4C9E">
        <w:rPr>
          <w:rFonts w:ascii="Calibri"/>
        </w:rPr>
        <w:t>,</w:t>
      </w:r>
      <w:r w:rsidR="005B39A6">
        <w:rPr>
          <w:rFonts w:ascii="Calibri"/>
        </w:rPr>
        <w:t xml:space="preserve"> or renovation of existing buildings that is valued </w:t>
      </w:r>
      <w:r w:rsidR="005B39A6">
        <w:rPr>
          <w:rFonts w:ascii="Calibri"/>
        </w:rPr>
        <w:lastRenderedPageBreak/>
        <w:t>greater than 50% of the existing assessed value of the propert</w:t>
      </w:r>
      <w:r w:rsidR="00D70FC1">
        <w:rPr>
          <w:rFonts w:ascii="Calibri"/>
        </w:rPr>
        <w:t>y</w:t>
      </w:r>
      <w:r w:rsidR="00F35F57">
        <w:rPr>
          <w:rFonts w:ascii="Calibri"/>
        </w:rPr>
        <w:t xml:space="preserve"> and meets a</w:t>
      </w:r>
      <w:r w:rsidR="009D1AD8">
        <w:rPr>
          <w:rFonts w:ascii="Calibri"/>
        </w:rPr>
        <w:t>n</w:t>
      </w:r>
      <w:r w:rsidR="00F35F57">
        <w:rPr>
          <w:rFonts w:ascii="Calibri"/>
        </w:rPr>
        <w:t>y of the below</w:t>
      </w:r>
      <w:r w:rsidR="00D70FC1">
        <w:rPr>
          <w:rFonts w:ascii="Calibri"/>
        </w:rPr>
        <w:t>:</w:t>
      </w:r>
    </w:p>
    <w:p w14:paraId="6A24D3A1" w14:textId="3327FC89" w:rsidR="0095181C" w:rsidRDefault="005428EA" w:rsidP="00337B05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right="30"/>
        <w:rPr>
          <w:rFonts w:ascii="Calibri"/>
        </w:rPr>
      </w:pPr>
      <w:r>
        <w:rPr>
          <w:rFonts w:ascii="Calibri"/>
        </w:rPr>
        <w:t xml:space="preserve">Mandatory Market-Driven Inclusionary Developments. </w:t>
      </w:r>
      <w:r w:rsidR="009E2D12">
        <w:rPr>
          <w:rFonts w:ascii="Calibri"/>
        </w:rPr>
        <w:t xml:space="preserve">After the </w:t>
      </w:r>
      <w:r w:rsidR="009D1AD8">
        <w:rPr>
          <w:rFonts w:ascii="Calibri"/>
        </w:rPr>
        <w:t>E</w:t>
      </w:r>
      <w:r w:rsidR="009E2D12">
        <w:rPr>
          <w:rFonts w:ascii="Calibri"/>
        </w:rPr>
        <w:t xml:space="preserve">ffective </w:t>
      </w:r>
      <w:r w:rsidR="009D1AD8">
        <w:rPr>
          <w:rFonts w:ascii="Calibri"/>
        </w:rPr>
        <w:t>D</w:t>
      </w:r>
      <w:r w:rsidR="009E2D12">
        <w:rPr>
          <w:rFonts w:ascii="Calibri"/>
        </w:rPr>
        <w:t xml:space="preserve">ate of this </w:t>
      </w:r>
      <w:r w:rsidR="001621CC">
        <w:rPr>
          <w:rFonts w:ascii="Calibri"/>
        </w:rPr>
        <w:t>Section</w:t>
      </w:r>
      <w:r w:rsidR="009E2D12">
        <w:rPr>
          <w:rFonts w:ascii="Calibri"/>
        </w:rPr>
        <w:t xml:space="preserve">, compliance with this </w:t>
      </w:r>
      <w:r w:rsidR="001621CC">
        <w:rPr>
          <w:rFonts w:ascii="Calibri"/>
        </w:rPr>
        <w:t>Section</w:t>
      </w:r>
      <w:r w:rsidR="009E2D12">
        <w:rPr>
          <w:rFonts w:ascii="Calibri"/>
        </w:rPr>
        <w:t xml:space="preserve"> is required for all properties</w:t>
      </w:r>
      <w:r w:rsidR="001621CC">
        <w:rPr>
          <w:rFonts w:ascii="Calibri"/>
        </w:rPr>
        <w:t xml:space="preserve"> or </w:t>
      </w:r>
      <w:r w:rsidR="009E2D12">
        <w:rPr>
          <w:rFonts w:ascii="Calibri"/>
        </w:rPr>
        <w:t xml:space="preserve">developments with a </w:t>
      </w:r>
      <w:r w:rsidR="00E12A34">
        <w:rPr>
          <w:rFonts w:ascii="Calibri"/>
        </w:rPr>
        <w:t>R</w:t>
      </w:r>
      <w:r w:rsidR="009E2D12">
        <w:rPr>
          <w:rFonts w:ascii="Calibri"/>
        </w:rPr>
        <w:t xml:space="preserve">esidential component that are </w:t>
      </w:r>
      <w:r w:rsidR="00B1391E">
        <w:rPr>
          <w:rFonts w:ascii="Calibri"/>
        </w:rPr>
        <w:t>proposing</w:t>
      </w:r>
      <w:r w:rsidR="009E2D12">
        <w:rPr>
          <w:rFonts w:ascii="Calibri"/>
        </w:rPr>
        <w:t xml:space="preserve"> </w:t>
      </w:r>
      <w:r w:rsidR="00B37DD9">
        <w:rPr>
          <w:rFonts w:ascii="Calibri"/>
        </w:rPr>
        <w:t>ten (</w:t>
      </w:r>
      <w:r w:rsidR="00E12A34">
        <w:rPr>
          <w:rFonts w:ascii="Calibri"/>
        </w:rPr>
        <w:t>10</w:t>
      </w:r>
      <w:r w:rsidR="00B37DD9">
        <w:rPr>
          <w:rFonts w:ascii="Calibri"/>
        </w:rPr>
        <w:t>)</w:t>
      </w:r>
      <w:r w:rsidR="009E2D12">
        <w:rPr>
          <w:rFonts w:ascii="Calibri"/>
        </w:rPr>
        <w:t xml:space="preserve"> </w:t>
      </w:r>
      <w:r w:rsidR="00B1391E">
        <w:rPr>
          <w:rFonts w:ascii="Calibri"/>
        </w:rPr>
        <w:t xml:space="preserve">or more </w:t>
      </w:r>
      <w:r w:rsidR="00276A75">
        <w:rPr>
          <w:rFonts w:ascii="Calibri"/>
        </w:rPr>
        <w:t xml:space="preserve">dwelling </w:t>
      </w:r>
      <w:r w:rsidR="009E2D12">
        <w:rPr>
          <w:rFonts w:ascii="Calibri"/>
        </w:rPr>
        <w:t>units</w:t>
      </w:r>
      <w:r w:rsidR="003E36AC">
        <w:rPr>
          <w:rFonts w:ascii="Calibri"/>
        </w:rPr>
        <w:t xml:space="preserve"> that are located within the </w:t>
      </w:r>
      <w:r w:rsidR="0095181C">
        <w:rPr>
          <w:rFonts w:ascii="Calibri"/>
        </w:rPr>
        <w:t>IZO</w:t>
      </w:r>
      <w:r w:rsidR="003E36AC">
        <w:rPr>
          <w:rFonts w:ascii="Calibri"/>
        </w:rPr>
        <w:t>.</w:t>
      </w:r>
    </w:p>
    <w:p w14:paraId="5F6F1676" w14:textId="730058D9" w:rsidR="00257C2C" w:rsidRPr="004975A4" w:rsidRDefault="005428EA" w:rsidP="00337B05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right="30"/>
        <w:rPr>
          <w:rFonts w:ascii="Calibri"/>
        </w:rPr>
      </w:pPr>
      <w:r>
        <w:rPr>
          <w:rFonts w:ascii="Calibri"/>
        </w:rPr>
        <w:t xml:space="preserve">Large-Scale </w:t>
      </w:r>
      <w:r w:rsidR="009763C6">
        <w:rPr>
          <w:rFonts w:ascii="Calibri"/>
        </w:rPr>
        <w:t xml:space="preserve">Inclusionary </w:t>
      </w:r>
      <w:r>
        <w:rPr>
          <w:rFonts w:ascii="Calibri"/>
        </w:rPr>
        <w:t xml:space="preserve">Developments. </w:t>
      </w:r>
      <w:r w:rsidR="00170462">
        <w:rPr>
          <w:rFonts w:ascii="Calibri"/>
        </w:rPr>
        <w:t xml:space="preserve">After the </w:t>
      </w:r>
      <w:r w:rsidR="009D1AD8">
        <w:rPr>
          <w:rFonts w:ascii="Calibri"/>
        </w:rPr>
        <w:t>E</w:t>
      </w:r>
      <w:r w:rsidR="00170462">
        <w:rPr>
          <w:rFonts w:ascii="Calibri"/>
        </w:rPr>
        <w:t xml:space="preserve">ffective </w:t>
      </w:r>
      <w:r w:rsidR="009D1AD8">
        <w:rPr>
          <w:rFonts w:ascii="Calibri"/>
        </w:rPr>
        <w:t>D</w:t>
      </w:r>
      <w:r w:rsidR="00170462">
        <w:rPr>
          <w:rFonts w:ascii="Calibri"/>
        </w:rPr>
        <w:t xml:space="preserve">ate of this Section, compliance with this Section is required for all </w:t>
      </w:r>
      <w:r w:rsidR="003E36AC">
        <w:rPr>
          <w:rFonts w:ascii="Calibri"/>
        </w:rPr>
        <w:t xml:space="preserve">properties or developments </w:t>
      </w:r>
      <w:r w:rsidR="00BA749E">
        <w:rPr>
          <w:rFonts w:ascii="Calibri"/>
        </w:rPr>
        <w:t xml:space="preserve">proposing </w:t>
      </w:r>
      <w:r w:rsidR="00216BCB" w:rsidRPr="004975A4">
        <w:rPr>
          <w:rFonts w:ascii="Calibri"/>
        </w:rPr>
        <w:t>75</w:t>
      </w:r>
      <w:r w:rsidR="005C4C93" w:rsidRPr="004975A4">
        <w:rPr>
          <w:rFonts w:ascii="Calibri"/>
        </w:rPr>
        <w:t xml:space="preserve"> dwelling units</w:t>
      </w:r>
      <w:r w:rsidR="007D55D0" w:rsidRPr="004975A4">
        <w:rPr>
          <w:rFonts w:ascii="Calibri"/>
        </w:rPr>
        <w:t xml:space="preserve"> or more (herein </w:t>
      </w:r>
      <w:r w:rsidR="007D55D0" w:rsidRPr="004975A4">
        <w:rPr>
          <w:rFonts w:asciiTheme="minorHAnsi" w:hAnsiTheme="minorHAnsi" w:cstheme="minorHAnsi"/>
        </w:rPr>
        <w:t>referred to as “</w:t>
      </w:r>
      <w:r w:rsidR="007D55D0" w:rsidRPr="004975A4">
        <w:rPr>
          <w:rFonts w:asciiTheme="minorHAnsi" w:hAnsiTheme="minorHAnsi" w:cstheme="minorHAnsi"/>
          <w:i/>
          <w:iCs/>
        </w:rPr>
        <w:t>Large-Scale Residential Developments</w:t>
      </w:r>
      <w:r w:rsidR="007D55D0" w:rsidRPr="004975A4">
        <w:rPr>
          <w:rFonts w:asciiTheme="minorHAnsi" w:hAnsiTheme="minorHAnsi" w:cstheme="minorHAnsi"/>
        </w:rPr>
        <w:t>”),</w:t>
      </w:r>
      <w:r w:rsidR="007D55D0" w:rsidRPr="004975A4">
        <w:rPr>
          <w:rFonts w:ascii="Calibri"/>
        </w:rPr>
        <w:t xml:space="preserve"> outside of the IZO.</w:t>
      </w:r>
    </w:p>
    <w:p w14:paraId="6A320FB8" w14:textId="5577E1AD" w:rsidR="0095181C" w:rsidRDefault="00A73892" w:rsidP="00337B05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right="30"/>
        <w:rPr>
          <w:rFonts w:ascii="Calibri"/>
        </w:rPr>
      </w:pPr>
      <w:r w:rsidRPr="004975A4">
        <w:rPr>
          <w:rFonts w:ascii="Calibri"/>
        </w:rPr>
        <w:t xml:space="preserve">Voluntary Inclusionary Developments. </w:t>
      </w:r>
      <w:r w:rsidR="0045762A" w:rsidRPr="004975A4">
        <w:rPr>
          <w:rFonts w:ascii="Calibri"/>
        </w:rPr>
        <w:t xml:space="preserve">After the </w:t>
      </w:r>
      <w:r w:rsidR="009D1AD8" w:rsidRPr="004975A4">
        <w:rPr>
          <w:rFonts w:ascii="Calibri"/>
        </w:rPr>
        <w:t>E</w:t>
      </w:r>
      <w:r w:rsidR="0045762A" w:rsidRPr="004975A4">
        <w:rPr>
          <w:rFonts w:ascii="Calibri"/>
        </w:rPr>
        <w:t xml:space="preserve">ffective </w:t>
      </w:r>
      <w:r w:rsidR="009D1AD8" w:rsidRPr="004975A4">
        <w:rPr>
          <w:rFonts w:ascii="Calibri"/>
        </w:rPr>
        <w:t>D</w:t>
      </w:r>
      <w:r w:rsidR="0045762A" w:rsidRPr="004975A4">
        <w:rPr>
          <w:rFonts w:ascii="Calibri"/>
        </w:rPr>
        <w:t xml:space="preserve">ate of this Section, compliance with this Section is </w:t>
      </w:r>
      <w:r w:rsidR="005428EA" w:rsidRPr="004975A4">
        <w:rPr>
          <w:rFonts w:ascii="Calibri"/>
        </w:rPr>
        <w:t>optional</w:t>
      </w:r>
      <w:r w:rsidR="0045762A" w:rsidRPr="004975A4">
        <w:rPr>
          <w:rFonts w:ascii="Calibri"/>
        </w:rPr>
        <w:t xml:space="preserve"> for all </w:t>
      </w:r>
      <w:r w:rsidR="0095181C" w:rsidRPr="004975A4">
        <w:rPr>
          <w:rFonts w:ascii="Calibri"/>
        </w:rPr>
        <w:t xml:space="preserve">properties or developments with a Residential component </w:t>
      </w:r>
      <w:r w:rsidR="00216BCB" w:rsidRPr="004975A4">
        <w:rPr>
          <w:rFonts w:ascii="Calibri"/>
        </w:rPr>
        <w:t xml:space="preserve">of </w:t>
      </w:r>
      <w:r w:rsidR="000363D8">
        <w:rPr>
          <w:rFonts w:ascii="Calibri"/>
        </w:rPr>
        <w:t xml:space="preserve">(i) </w:t>
      </w:r>
      <w:r w:rsidR="005428EA" w:rsidRPr="004975A4">
        <w:rPr>
          <w:rFonts w:ascii="Calibri"/>
        </w:rPr>
        <w:t xml:space="preserve">less than </w:t>
      </w:r>
      <w:r w:rsidR="00F33BCD" w:rsidRPr="004975A4">
        <w:rPr>
          <w:rFonts w:ascii="Calibri"/>
        </w:rPr>
        <w:t>7</w:t>
      </w:r>
      <w:r w:rsidR="00F514F5" w:rsidRPr="004975A4">
        <w:rPr>
          <w:rFonts w:ascii="Calibri"/>
        </w:rPr>
        <w:t>5</w:t>
      </w:r>
      <w:r w:rsidR="00F33BCD" w:rsidRPr="004975A4">
        <w:rPr>
          <w:rFonts w:ascii="Calibri"/>
        </w:rPr>
        <w:t xml:space="preserve"> dwelling units</w:t>
      </w:r>
      <w:r w:rsidR="00162C76" w:rsidRPr="004975A4">
        <w:rPr>
          <w:rFonts w:ascii="Calibri"/>
        </w:rPr>
        <w:t xml:space="preserve"> </w:t>
      </w:r>
      <w:r w:rsidR="00F33BCD" w:rsidRPr="004975A4">
        <w:rPr>
          <w:rFonts w:ascii="Calibri"/>
        </w:rPr>
        <w:t>outside</w:t>
      </w:r>
      <w:r w:rsidR="00F33BCD">
        <w:rPr>
          <w:rFonts w:ascii="Calibri"/>
        </w:rPr>
        <w:t xml:space="preserve"> the IZO</w:t>
      </w:r>
      <w:r w:rsidR="005428EA">
        <w:rPr>
          <w:rFonts w:ascii="Calibri"/>
        </w:rPr>
        <w:t xml:space="preserve"> </w:t>
      </w:r>
      <w:r w:rsidR="000363D8">
        <w:rPr>
          <w:rFonts w:ascii="Calibri"/>
        </w:rPr>
        <w:t xml:space="preserve">and (ii) less than 10 </w:t>
      </w:r>
      <w:r w:rsidR="00CA77CF">
        <w:rPr>
          <w:rFonts w:ascii="Calibri"/>
        </w:rPr>
        <w:t xml:space="preserve">dwelling units within the IZO </w:t>
      </w:r>
      <w:r w:rsidR="00B37DD9">
        <w:rPr>
          <w:rFonts w:ascii="Calibri"/>
        </w:rPr>
        <w:t xml:space="preserve">that </w:t>
      </w:r>
      <w:r w:rsidR="005428EA">
        <w:rPr>
          <w:rFonts w:ascii="Calibri"/>
        </w:rPr>
        <w:t>opt to construct Affordable Housing</w:t>
      </w:r>
      <w:r w:rsidR="00F33BCD">
        <w:rPr>
          <w:rFonts w:ascii="Calibri"/>
        </w:rPr>
        <w:t xml:space="preserve">, </w:t>
      </w:r>
      <w:r w:rsidR="00A922E9">
        <w:rPr>
          <w:rFonts w:ascii="Calibri"/>
        </w:rPr>
        <w:t xml:space="preserve">consistent with this </w:t>
      </w:r>
      <w:r w:rsidR="00DA2943">
        <w:rPr>
          <w:rFonts w:ascii="Calibri"/>
        </w:rPr>
        <w:t>Section in exchange for certain zoning bonuses as outlined in herein.</w:t>
      </w:r>
    </w:p>
    <w:p w14:paraId="111733FD" w14:textId="40FF0579" w:rsidR="00DA350F" w:rsidRDefault="00704115" w:rsidP="00337B05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right="30"/>
        <w:rPr>
          <w:rFonts w:ascii="Calibri"/>
        </w:rPr>
      </w:pPr>
      <w:r>
        <w:rPr>
          <w:rFonts w:ascii="Calibri"/>
        </w:rPr>
        <w:t>Applicable Developments within an existing</w:t>
      </w:r>
      <w:r w:rsidR="00DA350F">
        <w:rPr>
          <w:rFonts w:ascii="Calibri"/>
        </w:rPr>
        <w:t xml:space="preserve"> PDD or a PDU</w:t>
      </w:r>
      <w:r>
        <w:rPr>
          <w:rFonts w:ascii="Calibri"/>
        </w:rPr>
        <w:t xml:space="preserve"> are subject to this policy</w:t>
      </w:r>
      <w:r w:rsidR="00DA350F">
        <w:rPr>
          <w:rFonts w:ascii="Calibri"/>
        </w:rPr>
        <w:t>.</w:t>
      </w:r>
      <w:r>
        <w:rPr>
          <w:rFonts w:ascii="Calibri"/>
        </w:rPr>
        <w:t xml:space="preserve"> A new PDD or PDU may not create an exemption from this policy.</w:t>
      </w:r>
    </w:p>
    <w:p w14:paraId="59F6B323" w14:textId="4042C9EC" w:rsidR="00257C2C" w:rsidRPr="00986E5E" w:rsidRDefault="009E2D12" w:rsidP="00B51A53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0" w:after="120"/>
        <w:ind w:hanging="480"/>
        <w:rPr>
          <w:rFonts w:ascii="Calibri"/>
        </w:rPr>
      </w:pPr>
      <w:r>
        <w:rPr>
          <w:rFonts w:ascii="Calibri"/>
        </w:rPr>
        <w:t>Exemptions</w:t>
      </w:r>
      <w:r w:rsidR="00DA4B24">
        <w:rPr>
          <w:rFonts w:ascii="Calibri"/>
        </w:rPr>
        <w:t>.</w:t>
      </w:r>
    </w:p>
    <w:p w14:paraId="769F0865" w14:textId="3E3971D7" w:rsidR="00257C2C" w:rsidRDefault="009E2D12" w:rsidP="00B51A53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hanging="721"/>
        <w:rPr>
          <w:rFonts w:ascii="Calibri"/>
        </w:rPr>
      </w:pPr>
      <w:r>
        <w:rPr>
          <w:rFonts w:ascii="Calibri"/>
        </w:rPr>
        <w:t xml:space="preserve">Any project which is to be undertaken by the </w:t>
      </w:r>
      <w:r w:rsidR="00CB3864">
        <w:rPr>
          <w:rFonts w:ascii="Calibri"/>
        </w:rPr>
        <w:t>New Haven</w:t>
      </w:r>
      <w:r>
        <w:rPr>
          <w:rFonts w:ascii="Calibri"/>
        </w:rPr>
        <w:t xml:space="preserve"> Housing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Authority.</w:t>
      </w:r>
    </w:p>
    <w:p w14:paraId="3CD11834" w14:textId="07540147" w:rsidR="00205D01" w:rsidRDefault="00205D01" w:rsidP="00B51A53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hanging="721"/>
        <w:rPr>
          <w:rFonts w:ascii="Calibri"/>
        </w:rPr>
      </w:pPr>
      <w:r>
        <w:rPr>
          <w:rFonts w:ascii="Calibri"/>
        </w:rPr>
        <w:t>Any project that</w:t>
      </w:r>
      <w:r w:rsidR="00E256D9">
        <w:rPr>
          <w:rFonts w:ascii="Calibri"/>
        </w:rPr>
        <w:t xml:space="preserve"> </w:t>
      </w:r>
      <w:r w:rsidR="002033DA">
        <w:rPr>
          <w:rFonts w:ascii="Calibri"/>
        </w:rPr>
        <w:t xml:space="preserve">proposes </w:t>
      </w:r>
      <w:r w:rsidR="00AF5F13">
        <w:rPr>
          <w:rFonts w:ascii="Calibri"/>
        </w:rPr>
        <w:t>Se</w:t>
      </w:r>
      <w:r w:rsidR="00E256D9">
        <w:rPr>
          <w:rFonts w:ascii="Calibri"/>
        </w:rPr>
        <w:t xml:space="preserve">nior </w:t>
      </w:r>
      <w:r w:rsidR="00AF5F13">
        <w:rPr>
          <w:rFonts w:ascii="Calibri"/>
        </w:rPr>
        <w:t>L</w:t>
      </w:r>
      <w:r w:rsidR="00E256D9">
        <w:rPr>
          <w:rFonts w:ascii="Calibri"/>
        </w:rPr>
        <w:t xml:space="preserve">iving </w:t>
      </w:r>
      <w:r w:rsidR="00AF5F13">
        <w:rPr>
          <w:rFonts w:ascii="Calibri"/>
        </w:rPr>
        <w:t>F</w:t>
      </w:r>
      <w:r w:rsidR="00E256D9">
        <w:rPr>
          <w:rFonts w:ascii="Calibri"/>
        </w:rPr>
        <w:t xml:space="preserve">acilities, </w:t>
      </w:r>
      <w:r w:rsidR="00AF5F13">
        <w:rPr>
          <w:rFonts w:ascii="Calibri"/>
        </w:rPr>
        <w:t>S</w:t>
      </w:r>
      <w:r w:rsidR="00E256D9">
        <w:rPr>
          <w:rFonts w:ascii="Calibri"/>
        </w:rPr>
        <w:t xml:space="preserve">tudent </w:t>
      </w:r>
      <w:r w:rsidR="00AF5F13">
        <w:rPr>
          <w:rFonts w:ascii="Calibri"/>
        </w:rPr>
        <w:t>H</w:t>
      </w:r>
      <w:r w:rsidR="00E256D9">
        <w:rPr>
          <w:rFonts w:ascii="Calibri"/>
        </w:rPr>
        <w:t>ousing</w:t>
      </w:r>
      <w:r w:rsidR="00BB3A4F">
        <w:rPr>
          <w:rFonts w:ascii="Calibri"/>
        </w:rPr>
        <w:t xml:space="preserve">, </w:t>
      </w:r>
      <w:r w:rsidR="00AF5F13">
        <w:rPr>
          <w:rFonts w:ascii="Calibri"/>
        </w:rPr>
        <w:t xml:space="preserve">or </w:t>
      </w:r>
      <w:r w:rsidR="00BB3A4F" w:rsidRPr="00BB3A4F">
        <w:rPr>
          <w:rFonts w:ascii="Calibri"/>
        </w:rPr>
        <w:t xml:space="preserve">Rooming, Boarding </w:t>
      </w:r>
      <w:r w:rsidR="00BB3A4F">
        <w:rPr>
          <w:rFonts w:ascii="Calibri"/>
        </w:rPr>
        <w:t>o</w:t>
      </w:r>
      <w:r w:rsidR="00BB3A4F" w:rsidRPr="00BB3A4F">
        <w:rPr>
          <w:rFonts w:ascii="Calibri"/>
        </w:rPr>
        <w:t>r Lodging House</w:t>
      </w:r>
      <w:r w:rsidR="002D56F0">
        <w:rPr>
          <w:rFonts w:ascii="Calibri"/>
        </w:rPr>
        <w:t>s</w:t>
      </w:r>
      <w:r w:rsidR="00AF5F13">
        <w:rPr>
          <w:rFonts w:ascii="Calibri"/>
        </w:rPr>
        <w:t>.</w:t>
      </w:r>
    </w:p>
    <w:p w14:paraId="23C01627" w14:textId="3366BC4A" w:rsidR="00361A45" w:rsidRDefault="009E2D12" w:rsidP="00B642D4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left="1555"/>
        <w:rPr>
          <w:rFonts w:ascii="Calibri"/>
        </w:rPr>
      </w:pPr>
      <w:r>
        <w:rPr>
          <w:rFonts w:ascii="Calibri"/>
        </w:rPr>
        <w:t xml:space="preserve">Rezoning initiated by the City </w:t>
      </w:r>
      <w:proofErr w:type="gramStart"/>
      <w:r>
        <w:rPr>
          <w:rFonts w:ascii="Calibri"/>
        </w:rPr>
        <w:t>as a result of</w:t>
      </w:r>
      <w:proofErr w:type="gramEnd"/>
      <w:r>
        <w:rPr>
          <w:rFonts w:ascii="Calibri"/>
        </w:rPr>
        <w:t xml:space="preserve"> a Master Plan Update or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Amendment</w:t>
      </w:r>
      <w:r w:rsidR="00F514F5">
        <w:rPr>
          <w:rFonts w:ascii="Calibri"/>
        </w:rPr>
        <w:t xml:space="preserve"> or Market </w:t>
      </w:r>
      <w:r w:rsidR="00EF1292">
        <w:rPr>
          <w:rFonts w:ascii="Calibri"/>
        </w:rPr>
        <w:t>Analysis Updates.</w:t>
      </w:r>
    </w:p>
    <w:p w14:paraId="78846856" w14:textId="0B5AB8AD" w:rsidR="002133A1" w:rsidRPr="002133A1" w:rsidRDefault="002133A1" w:rsidP="00657301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0" w:after="120"/>
        <w:rPr>
          <w:rFonts w:ascii="Calibri"/>
          <w:b/>
          <w:bCs/>
        </w:rPr>
      </w:pPr>
      <w:r>
        <w:rPr>
          <w:rFonts w:ascii="Calibri"/>
          <w:b/>
          <w:bCs/>
        </w:rPr>
        <w:t>Inclusionary Housing Set-Aside</w:t>
      </w:r>
    </w:p>
    <w:p w14:paraId="330B80E2" w14:textId="17692731" w:rsidR="002F2F49" w:rsidRPr="00657301" w:rsidRDefault="00C77959" w:rsidP="009E11A6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left="1555" w:hanging="721"/>
        <w:rPr>
          <w:rFonts w:ascii="Calibri"/>
        </w:rPr>
      </w:pPr>
      <w:r w:rsidRPr="00AA636D">
        <w:rPr>
          <w:rFonts w:ascii="Calibri"/>
        </w:rPr>
        <w:t xml:space="preserve">In the Core Market </w:t>
      </w:r>
      <w:r w:rsidR="008D7A21" w:rsidRPr="00AA636D">
        <w:rPr>
          <w:rFonts w:ascii="Calibri"/>
        </w:rPr>
        <w:t xml:space="preserve">of the IZO, </w:t>
      </w:r>
      <w:r w:rsidR="003803FB">
        <w:rPr>
          <w:rFonts w:ascii="Calibri"/>
        </w:rPr>
        <w:t>A</w:t>
      </w:r>
      <w:r w:rsidR="008D7A21" w:rsidRPr="00AA636D">
        <w:rPr>
          <w:rFonts w:ascii="Calibri"/>
        </w:rPr>
        <w:t xml:space="preserve">pplicable </w:t>
      </w:r>
      <w:r w:rsidR="003803FB">
        <w:rPr>
          <w:rFonts w:ascii="Calibri"/>
        </w:rPr>
        <w:t>D</w:t>
      </w:r>
      <w:r w:rsidR="00844B4D" w:rsidRPr="00AA636D">
        <w:rPr>
          <w:rFonts w:ascii="Calibri"/>
        </w:rPr>
        <w:t>evelopments</w:t>
      </w:r>
      <w:r w:rsidR="008D7A21" w:rsidRPr="00AA636D">
        <w:rPr>
          <w:rFonts w:ascii="Calibri"/>
        </w:rPr>
        <w:t xml:space="preserve"> must set aside not less than </w:t>
      </w:r>
      <w:r w:rsidR="003C4ED3">
        <w:rPr>
          <w:rFonts w:ascii="Calibri"/>
        </w:rPr>
        <w:t>ten</w:t>
      </w:r>
      <w:r w:rsidR="008D7A21" w:rsidRPr="00AA636D">
        <w:rPr>
          <w:rFonts w:ascii="Calibri"/>
        </w:rPr>
        <w:t xml:space="preserve"> percent (</w:t>
      </w:r>
      <w:r w:rsidR="00D82001">
        <w:rPr>
          <w:rFonts w:ascii="Calibri"/>
        </w:rPr>
        <w:t>10</w:t>
      </w:r>
      <w:r w:rsidR="008D7A21" w:rsidRPr="00AA636D">
        <w:rPr>
          <w:rFonts w:ascii="Calibri"/>
        </w:rPr>
        <w:t>%) of the total number of dwelling units as Affordable Housing</w:t>
      </w:r>
      <w:r w:rsidR="00844B4D" w:rsidRPr="00AA636D">
        <w:rPr>
          <w:rFonts w:ascii="Calibri"/>
        </w:rPr>
        <w:t xml:space="preserve"> </w:t>
      </w:r>
      <w:r w:rsidR="008F74DF">
        <w:rPr>
          <w:rFonts w:ascii="Calibri"/>
        </w:rPr>
        <w:t>priced at</w:t>
      </w:r>
      <w:r w:rsidR="005F488E">
        <w:rPr>
          <w:rFonts w:ascii="Calibri"/>
        </w:rPr>
        <w:t xml:space="preserve"> 50% of </w:t>
      </w:r>
      <w:r w:rsidR="00D21F2B">
        <w:rPr>
          <w:rFonts w:ascii="Calibri"/>
        </w:rPr>
        <w:t>AMI</w:t>
      </w:r>
      <w:r w:rsidR="008F74DF">
        <w:rPr>
          <w:rFonts w:ascii="Calibri"/>
        </w:rPr>
        <w:t xml:space="preserve"> as defined by HUD</w:t>
      </w:r>
      <w:r w:rsidR="008D7A21" w:rsidRPr="00AA636D">
        <w:rPr>
          <w:rFonts w:ascii="Calibri"/>
        </w:rPr>
        <w:t>.</w:t>
      </w:r>
      <w:r w:rsidR="00D82001">
        <w:rPr>
          <w:rFonts w:ascii="Calibri"/>
        </w:rPr>
        <w:t xml:space="preserve"> </w:t>
      </w:r>
      <w:r w:rsidR="00D21F2B">
        <w:rPr>
          <w:rFonts w:ascii="Calibri"/>
        </w:rPr>
        <w:t>T</w:t>
      </w:r>
      <w:r w:rsidR="003C4ED3" w:rsidRPr="00657301">
        <w:rPr>
          <w:rFonts w:ascii="Calibri"/>
        </w:rPr>
        <w:t>he IZO a</w:t>
      </w:r>
      <w:r w:rsidR="00D82001" w:rsidRPr="00657301">
        <w:rPr>
          <w:rFonts w:ascii="Calibri"/>
        </w:rPr>
        <w:t xml:space="preserve">pplicable developments shall prioritize an additional </w:t>
      </w:r>
      <w:r w:rsidR="008A59F5">
        <w:rPr>
          <w:rFonts w:ascii="Calibri"/>
        </w:rPr>
        <w:t>five percent (</w:t>
      </w:r>
      <w:r w:rsidR="00D82001" w:rsidRPr="00657301">
        <w:rPr>
          <w:rFonts w:ascii="Calibri"/>
        </w:rPr>
        <w:t>5%</w:t>
      </w:r>
      <w:r w:rsidR="008A59F5">
        <w:rPr>
          <w:rFonts w:ascii="Calibri"/>
        </w:rPr>
        <w:t>) of the total number of dwelling units</w:t>
      </w:r>
      <w:r w:rsidR="00D82001" w:rsidRPr="00657301">
        <w:rPr>
          <w:rFonts w:ascii="Calibri"/>
        </w:rPr>
        <w:t xml:space="preserve"> for persons or families with Housing Choice (Section 8) vouchers. </w:t>
      </w:r>
      <w:r w:rsidR="003C4ED3" w:rsidRPr="00657301">
        <w:rPr>
          <w:rFonts w:ascii="Calibri"/>
        </w:rPr>
        <w:t>If tenants with Housing Choice vouchers are not able to be placed</w:t>
      </w:r>
      <w:r w:rsidR="00DC0D05">
        <w:rPr>
          <w:rFonts w:ascii="Calibri"/>
        </w:rPr>
        <w:t xml:space="preserve"> and proper documentation is </w:t>
      </w:r>
      <w:r w:rsidR="00501EA5">
        <w:rPr>
          <w:rFonts w:ascii="Calibri"/>
        </w:rPr>
        <w:t>approved by</w:t>
      </w:r>
      <w:r w:rsidR="00DC0D05">
        <w:rPr>
          <w:rFonts w:ascii="Calibri"/>
        </w:rPr>
        <w:t xml:space="preserve"> </w:t>
      </w:r>
      <w:r w:rsidR="00DA149E">
        <w:rPr>
          <w:rFonts w:ascii="Calibri"/>
        </w:rPr>
        <w:t>the City</w:t>
      </w:r>
      <w:r w:rsidR="003C4ED3" w:rsidRPr="00657301">
        <w:rPr>
          <w:rFonts w:ascii="Calibri"/>
        </w:rPr>
        <w:t>, a unit with Housing Choice priority may be rented at no more than 80% of AMI until vacancies recur</w:t>
      </w:r>
      <w:r w:rsidR="00104EE2">
        <w:rPr>
          <w:rFonts w:ascii="Calibri"/>
        </w:rPr>
        <w:t>,</w:t>
      </w:r>
      <w:r w:rsidR="003C4ED3" w:rsidRPr="00657301">
        <w:rPr>
          <w:rFonts w:ascii="Calibri"/>
        </w:rPr>
        <w:t xml:space="preserve"> at which time Housing Choice tenants will be re-prioritized.</w:t>
      </w:r>
    </w:p>
    <w:p w14:paraId="3EA3D07E" w14:textId="6106C268" w:rsidR="00470358" w:rsidRPr="00AA636D" w:rsidRDefault="00470358" w:rsidP="00B51A53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left="1555" w:hanging="721"/>
        <w:rPr>
          <w:rFonts w:ascii="Calibri"/>
        </w:rPr>
      </w:pPr>
      <w:r w:rsidRPr="00AA636D">
        <w:rPr>
          <w:rFonts w:ascii="Calibri"/>
        </w:rPr>
        <w:t xml:space="preserve">In the Strong Market of the IZO, </w:t>
      </w:r>
      <w:r w:rsidR="003803FB">
        <w:rPr>
          <w:rFonts w:ascii="Calibri"/>
        </w:rPr>
        <w:t>A</w:t>
      </w:r>
      <w:r w:rsidRPr="00AA636D">
        <w:rPr>
          <w:rFonts w:ascii="Calibri"/>
        </w:rPr>
        <w:t xml:space="preserve">pplicable </w:t>
      </w:r>
      <w:r w:rsidR="003803FB">
        <w:rPr>
          <w:rFonts w:ascii="Calibri"/>
        </w:rPr>
        <w:t>D</w:t>
      </w:r>
      <w:r w:rsidRPr="00AA636D">
        <w:rPr>
          <w:rFonts w:ascii="Calibri"/>
        </w:rPr>
        <w:t>evelopments must set aside not less than five percent (5%) of the total number of dwelling units as Affordable Housing for Low</w:t>
      </w:r>
      <w:r w:rsidR="00152DE3" w:rsidRPr="00AA636D">
        <w:rPr>
          <w:rFonts w:ascii="Calibri"/>
        </w:rPr>
        <w:t>-</w:t>
      </w:r>
      <w:r w:rsidRPr="00AA636D">
        <w:rPr>
          <w:rFonts w:ascii="Calibri"/>
        </w:rPr>
        <w:t>Income Households.</w:t>
      </w:r>
    </w:p>
    <w:p w14:paraId="2AD48286" w14:textId="3811511A" w:rsidR="00141D3A" w:rsidRDefault="00F047F9" w:rsidP="0003380B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left="1555" w:hanging="721"/>
        <w:rPr>
          <w:rFonts w:ascii="Calibri"/>
        </w:rPr>
      </w:pPr>
      <w:r w:rsidRPr="00AA636D">
        <w:rPr>
          <w:rFonts w:ascii="Calibri"/>
        </w:rPr>
        <w:t>City-Wide Inclusionary Housing Set-Aside.</w:t>
      </w:r>
      <w:r>
        <w:rPr>
          <w:rFonts w:ascii="Calibri"/>
        </w:rPr>
        <w:t xml:space="preserve"> </w:t>
      </w:r>
      <w:r w:rsidR="00152DE3" w:rsidRPr="005B77C3">
        <w:rPr>
          <w:rFonts w:ascii="Calibri"/>
        </w:rPr>
        <w:t xml:space="preserve">Outside of the IZO, </w:t>
      </w:r>
      <w:r w:rsidR="00554560" w:rsidRPr="005B77C3">
        <w:rPr>
          <w:rFonts w:ascii="Calibri"/>
        </w:rPr>
        <w:t>Large</w:t>
      </w:r>
      <w:r w:rsidR="00146851" w:rsidRPr="005B77C3">
        <w:rPr>
          <w:rFonts w:ascii="Calibri"/>
        </w:rPr>
        <w:t>-</w:t>
      </w:r>
      <w:r w:rsidR="00554560" w:rsidRPr="005B77C3">
        <w:rPr>
          <w:rFonts w:ascii="Calibri"/>
        </w:rPr>
        <w:t>Scale Inclusionary Developments</w:t>
      </w:r>
      <w:r w:rsidR="00BA0A22" w:rsidRPr="005B77C3">
        <w:rPr>
          <w:rFonts w:ascii="Calibri"/>
        </w:rPr>
        <w:t xml:space="preserve"> must set aside not less than five percent (5%) of the total number of dwelling units as Affordable Housing for Low</w:t>
      </w:r>
      <w:r w:rsidR="00152DE3" w:rsidRPr="005B77C3">
        <w:rPr>
          <w:rFonts w:ascii="Calibri"/>
        </w:rPr>
        <w:t>-</w:t>
      </w:r>
      <w:r w:rsidR="00BA0A22" w:rsidRPr="005B77C3">
        <w:rPr>
          <w:rFonts w:ascii="Calibri"/>
        </w:rPr>
        <w:t>Income Households.</w:t>
      </w:r>
    </w:p>
    <w:p w14:paraId="74AF21AE" w14:textId="0B61252B" w:rsidR="0003380B" w:rsidRPr="00657301" w:rsidRDefault="003C4ED3" w:rsidP="00657301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left="1555" w:hanging="721"/>
        <w:rPr>
          <w:rFonts w:ascii="Calibri"/>
        </w:rPr>
      </w:pPr>
      <w:r w:rsidRPr="00657301">
        <w:rPr>
          <w:rFonts w:ascii="Calibri"/>
        </w:rPr>
        <w:t>V</w:t>
      </w:r>
      <w:r w:rsidR="0003380B" w:rsidRPr="00657301">
        <w:rPr>
          <w:rFonts w:ascii="Calibri"/>
        </w:rPr>
        <w:t>oluntary Inclusionary Set-Aside.</w:t>
      </w:r>
    </w:p>
    <w:p w14:paraId="6DDB42C4" w14:textId="5EB91860" w:rsidR="00554560" w:rsidRDefault="00B17B8E" w:rsidP="00B51A53">
      <w:pPr>
        <w:pStyle w:val="ListParagraph"/>
        <w:numPr>
          <w:ilvl w:val="2"/>
          <w:numId w:val="20"/>
        </w:numPr>
        <w:tabs>
          <w:tab w:val="left" w:pos="1560"/>
          <w:tab w:val="left" w:pos="1561"/>
        </w:tabs>
        <w:spacing w:before="0" w:after="120"/>
        <w:rPr>
          <w:rFonts w:ascii="Calibri"/>
        </w:rPr>
      </w:pPr>
      <w:r w:rsidRPr="00AA636D">
        <w:rPr>
          <w:rFonts w:ascii="Calibri"/>
        </w:rPr>
        <w:t xml:space="preserve">Outside of the IZO, </w:t>
      </w:r>
      <w:r w:rsidR="00F843F6" w:rsidRPr="00AA636D">
        <w:rPr>
          <w:rFonts w:ascii="Calibri"/>
        </w:rPr>
        <w:t xml:space="preserve">a development </w:t>
      </w:r>
      <w:r w:rsidR="00F20435" w:rsidRPr="00AA636D">
        <w:rPr>
          <w:rFonts w:ascii="Calibri"/>
        </w:rPr>
        <w:t xml:space="preserve">of </w:t>
      </w:r>
      <w:r w:rsidR="00B33BD7" w:rsidRPr="00AA636D">
        <w:rPr>
          <w:rFonts w:ascii="Calibri"/>
        </w:rPr>
        <w:t>less than</w:t>
      </w:r>
      <w:r w:rsidR="00F20435" w:rsidRPr="00AA636D">
        <w:rPr>
          <w:rFonts w:ascii="Calibri"/>
        </w:rPr>
        <w:t xml:space="preserve"> </w:t>
      </w:r>
      <w:r w:rsidR="00FE263B" w:rsidRPr="00AA636D">
        <w:rPr>
          <w:rFonts w:ascii="Calibri"/>
        </w:rPr>
        <w:t>seventy-five (</w:t>
      </w:r>
      <w:r w:rsidR="00F20435" w:rsidRPr="00AA636D">
        <w:rPr>
          <w:rFonts w:ascii="Calibri"/>
        </w:rPr>
        <w:t>75</w:t>
      </w:r>
      <w:r w:rsidR="00FE263B" w:rsidRPr="00AA636D">
        <w:rPr>
          <w:rFonts w:ascii="Calibri"/>
        </w:rPr>
        <w:t>)</w:t>
      </w:r>
      <w:r w:rsidR="00F20435" w:rsidRPr="00AA636D">
        <w:rPr>
          <w:rFonts w:ascii="Calibri"/>
        </w:rPr>
        <w:t xml:space="preserve"> dwelling units, </w:t>
      </w:r>
      <w:r w:rsidR="00F843F6" w:rsidRPr="00AA636D">
        <w:rPr>
          <w:rFonts w:ascii="Calibri"/>
        </w:rPr>
        <w:lastRenderedPageBreak/>
        <w:t>may set aside five percent (5%) of the total number of dwelling units as Affordable Housing for Low-Income Households</w:t>
      </w:r>
      <w:r w:rsidR="00F20435" w:rsidRPr="00AA636D">
        <w:rPr>
          <w:rFonts w:ascii="Calibri"/>
        </w:rPr>
        <w:t xml:space="preserve"> </w:t>
      </w:r>
      <w:r w:rsidR="0067189C" w:rsidRPr="00AA636D">
        <w:rPr>
          <w:rFonts w:ascii="Calibri"/>
        </w:rPr>
        <w:t>on a voluntary basis.</w:t>
      </w:r>
      <w:r w:rsidR="00C32B67" w:rsidRPr="00AA636D">
        <w:rPr>
          <w:rFonts w:ascii="Calibri"/>
        </w:rPr>
        <w:t xml:space="preserve"> </w:t>
      </w:r>
      <w:r w:rsidR="00B97C1D" w:rsidRPr="00AA636D">
        <w:rPr>
          <w:rFonts w:ascii="Calibri"/>
        </w:rPr>
        <w:t xml:space="preserve">A development that opts </w:t>
      </w:r>
      <w:r w:rsidR="00C32B67" w:rsidRPr="00AA636D">
        <w:rPr>
          <w:rFonts w:ascii="Calibri"/>
        </w:rPr>
        <w:t>in will be required to comply with the provisions of this Section.</w:t>
      </w:r>
    </w:p>
    <w:p w14:paraId="1A118EEA" w14:textId="28DBAA7B" w:rsidR="003C4BBE" w:rsidRPr="00AA636D" w:rsidRDefault="0003380B" w:rsidP="003C4BBE">
      <w:pPr>
        <w:pStyle w:val="ListParagraph"/>
        <w:numPr>
          <w:ilvl w:val="2"/>
          <w:numId w:val="20"/>
        </w:numPr>
        <w:tabs>
          <w:tab w:val="left" w:pos="1560"/>
          <w:tab w:val="left" w:pos="1561"/>
        </w:tabs>
        <w:spacing w:before="0" w:after="120"/>
        <w:rPr>
          <w:rFonts w:ascii="Calibri"/>
        </w:rPr>
      </w:pPr>
      <w:r>
        <w:rPr>
          <w:rFonts w:ascii="Calibri"/>
        </w:rPr>
        <w:t xml:space="preserve">Within the IZO, </w:t>
      </w:r>
      <w:r w:rsidR="00776848">
        <w:rPr>
          <w:rFonts w:ascii="Calibri"/>
        </w:rPr>
        <w:t>any project involving 10</w:t>
      </w:r>
      <w:r w:rsidR="004121DF">
        <w:rPr>
          <w:rFonts w:ascii="Calibri"/>
        </w:rPr>
        <w:t xml:space="preserve"> dwelling</w:t>
      </w:r>
      <w:r w:rsidR="00776848">
        <w:rPr>
          <w:rFonts w:ascii="Calibri"/>
        </w:rPr>
        <w:t xml:space="preserve"> units </w:t>
      </w:r>
      <w:r w:rsidR="004121DF">
        <w:rPr>
          <w:rFonts w:ascii="Calibri"/>
        </w:rPr>
        <w:t xml:space="preserve">or less </w:t>
      </w:r>
      <w:r w:rsidR="00776848">
        <w:rPr>
          <w:rFonts w:ascii="Calibri"/>
        </w:rPr>
        <w:t>may opt into this policy</w:t>
      </w:r>
      <w:r w:rsidR="000928D2">
        <w:rPr>
          <w:rFonts w:ascii="Calibri"/>
        </w:rPr>
        <w:t xml:space="preserve"> based on the number of units required in A. and B. above, as applicable</w:t>
      </w:r>
      <w:r w:rsidR="00776848">
        <w:rPr>
          <w:rFonts w:ascii="Calibri"/>
        </w:rPr>
        <w:t xml:space="preserve">. </w:t>
      </w:r>
      <w:r w:rsidR="00F16B1E">
        <w:rPr>
          <w:rFonts w:ascii="Calibri"/>
        </w:rPr>
        <w:t>If the calculation results in a partial uni</w:t>
      </w:r>
      <w:r w:rsidR="00801EB7">
        <w:rPr>
          <w:rFonts w:ascii="Calibri"/>
        </w:rPr>
        <w:t xml:space="preserve">t, it is rounded up to the nearest whole unit for the purposes of calculating the units to be provided on site. </w:t>
      </w:r>
      <w:r w:rsidR="003321B2">
        <w:rPr>
          <w:rFonts w:ascii="Calibri"/>
        </w:rPr>
        <w:t xml:space="preserve">If the calculation results in less than </w:t>
      </w:r>
      <w:r w:rsidR="00B52AF0">
        <w:rPr>
          <w:rFonts w:ascii="Calibri"/>
        </w:rPr>
        <w:t xml:space="preserve">.5 units, then one affordable unit will be required to opt into this policy and receive the incentives. </w:t>
      </w:r>
      <w:r w:rsidR="00801EB7">
        <w:rPr>
          <w:rFonts w:ascii="Calibri"/>
        </w:rPr>
        <w:t xml:space="preserve">For a payment in-lieu of constructing the unit, </w:t>
      </w:r>
      <w:r w:rsidR="000928D2">
        <w:rPr>
          <w:rFonts w:ascii="Calibri"/>
        </w:rPr>
        <w:t>the developer pays the in-lieu fee based on the share of total units required under A. and B. above, as applicable.</w:t>
      </w:r>
      <w:r w:rsidR="00D5611B">
        <w:rPr>
          <w:rFonts w:ascii="Calibri"/>
        </w:rPr>
        <w:t xml:space="preserve"> If the calculation results in a partial unit, t</w:t>
      </w:r>
      <w:r w:rsidR="000928D2">
        <w:rPr>
          <w:rFonts w:ascii="Calibri"/>
        </w:rPr>
        <w:t xml:space="preserve">he in-lieu fee </w:t>
      </w:r>
      <w:r w:rsidR="00D5611B">
        <w:rPr>
          <w:rFonts w:ascii="Calibri"/>
        </w:rPr>
        <w:t>is c</w:t>
      </w:r>
      <w:r w:rsidR="000928D2">
        <w:rPr>
          <w:rFonts w:ascii="Calibri"/>
        </w:rPr>
        <w:t>alculated based on the partial unit (e.g. if the unit calculation requires .5 dwelling units, the developer pays 50% of the established in-lieu fee)</w:t>
      </w:r>
      <w:r w:rsidR="00C11D5B">
        <w:rPr>
          <w:rFonts w:ascii="Calibri"/>
        </w:rPr>
        <w:t>.</w:t>
      </w:r>
    </w:p>
    <w:p w14:paraId="6399D8C7" w14:textId="0782BC7B" w:rsidR="00C77959" w:rsidRPr="00AA636D" w:rsidRDefault="002F2F49" w:rsidP="00657301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rPr>
          <w:rFonts w:ascii="Calibri"/>
        </w:rPr>
      </w:pPr>
      <w:r w:rsidRPr="00AA636D">
        <w:rPr>
          <w:rFonts w:ascii="Calibri"/>
        </w:rPr>
        <w:t xml:space="preserve">This Inclusionary Housing Set-Aside </w:t>
      </w:r>
      <w:r w:rsidR="008D7A21" w:rsidRPr="00AA636D">
        <w:rPr>
          <w:rFonts w:ascii="Calibri"/>
        </w:rPr>
        <w:t>appl</w:t>
      </w:r>
      <w:r w:rsidR="007E419E" w:rsidRPr="00AA636D">
        <w:rPr>
          <w:rFonts w:ascii="Calibri"/>
        </w:rPr>
        <w:t>ies</w:t>
      </w:r>
      <w:r w:rsidR="008D7A21" w:rsidRPr="00AA636D">
        <w:rPr>
          <w:rFonts w:ascii="Calibri"/>
        </w:rPr>
        <w:t xml:space="preserve"> to rental units. All affordable units </w:t>
      </w:r>
      <w:r w:rsidRPr="00AA636D">
        <w:rPr>
          <w:rFonts w:ascii="Calibri"/>
        </w:rPr>
        <w:t>must be constructed and maintained in a manner</w:t>
      </w:r>
      <w:r w:rsidR="008D7A21" w:rsidRPr="00AA636D">
        <w:rPr>
          <w:rFonts w:ascii="Calibri"/>
        </w:rPr>
        <w:t xml:space="preserve"> consistent with </w:t>
      </w:r>
      <w:r w:rsidR="00E81A29">
        <w:rPr>
          <w:rFonts w:ascii="Calibri"/>
        </w:rPr>
        <w:t xml:space="preserve">market rate units provided </w:t>
      </w:r>
      <w:r w:rsidR="00F142C9">
        <w:rPr>
          <w:rFonts w:ascii="Calibri"/>
        </w:rPr>
        <w:t xml:space="preserve">as part of the </w:t>
      </w:r>
      <w:r w:rsidR="00045941">
        <w:rPr>
          <w:rFonts w:ascii="Calibri"/>
        </w:rPr>
        <w:t>I</w:t>
      </w:r>
      <w:r w:rsidR="00F142C9">
        <w:rPr>
          <w:rFonts w:ascii="Calibri"/>
        </w:rPr>
        <w:t xml:space="preserve">nclusionary </w:t>
      </w:r>
      <w:r w:rsidR="00045941">
        <w:rPr>
          <w:rFonts w:ascii="Calibri"/>
        </w:rPr>
        <w:t>D</w:t>
      </w:r>
      <w:r w:rsidR="00F142C9">
        <w:rPr>
          <w:rFonts w:ascii="Calibri"/>
        </w:rPr>
        <w:t>evelopm</w:t>
      </w:r>
      <w:r w:rsidR="008D7A21" w:rsidRPr="00AA636D">
        <w:rPr>
          <w:rFonts w:ascii="Calibri"/>
        </w:rPr>
        <w:t>e</w:t>
      </w:r>
      <w:r w:rsidR="001344B9">
        <w:rPr>
          <w:rFonts w:ascii="Calibri"/>
        </w:rPr>
        <w:t>nt</w:t>
      </w:r>
      <w:r w:rsidR="008D7A21" w:rsidRPr="00AA636D">
        <w:rPr>
          <w:rFonts w:ascii="Calibri"/>
        </w:rPr>
        <w:t>.</w:t>
      </w:r>
    </w:p>
    <w:p w14:paraId="47F7AED4" w14:textId="32D1B832" w:rsidR="002A35CC" w:rsidRPr="00AA636D" w:rsidRDefault="002A35CC" w:rsidP="00657301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rPr>
          <w:rFonts w:ascii="Calibri"/>
        </w:rPr>
      </w:pPr>
      <w:r w:rsidRPr="00AA636D">
        <w:rPr>
          <w:rFonts w:ascii="Calibri"/>
        </w:rPr>
        <w:t xml:space="preserve">The set-aside units must be </w:t>
      </w:r>
      <w:r w:rsidR="00C11D5B" w:rsidRPr="00AA636D">
        <w:rPr>
          <w:rFonts w:ascii="Calibri"/>
        </w:rPr>
        <w:t>p</w:t>
      </w:r>
      <w:r w:rsidR="00C11D5B">
        <w:rPr>
          <w:rFonts w:ascii="Calibri"/>
        </w:rPr>
        <w:t>riced using</w:t>
      </w:r>
      <w:r w:rsidR="0083002E">
        <w:rPr>
          <w:rFonts w:ascii="Calibri"/>
        </w:rPr>
        <w:t xml:space="preserve"> the AMI</w:t>
      </w:r>
      <w:r w:rsidR="006900A4">
        <w:rPr>
          <w:rFonts w:ascii="Calibri"/>
        </w:rPr>
        <w:t xml:space="preserve"> levels</w:t>
      </w:r>
      <w:r w:rsidR="0083002E">
        <w:rPr>
          <w:rFonts w:ascii="Calibri"/>
        </w:rPr>
        <w:t xml:space="preserve"> </w:t>
      </w:r>
      <w:r w:rsidR="006900A4">
        <w:rPr>
          <w:rFonts w:ascii="Calibri"/>
        </w:rPr>
        <w:t>specified in this section</w:t>
      </w:r>
      <w:r w:rsidRPr="00AA636D">
        <w:rPr>
          <w:rFonts w:ascii="Calibri"/>
        </w:rPr>
        <w:t>, and the units will be income</w:t>
      </w:r>
      <w:r w:rsidR="008866E5" w:rsidRPr="00AA636D">
        <w:rPr>
          <w:rFonts w:ascii="Calibri"/>
        </w:rPr>
        <w:t>-</w:t>
      </w:r>
      <w:r w:rsidRPr="00AA636D">
        <w:rPr>
          <w:rFonts w:ascii="Calibri"/>
        </w:rPr>
        <w:t xml:space="preserve">restricted by deed for a minimum of </w:t>
      </w:r>
      <w:r w:rsidR="007D203F">
        <w:rPr>
          <w:rFonts w:ascii="Calibri"/>
        </w:rPr>
        <w:t>99</w:t>
      </w:r>
      <w:r w:rsidRPr="00AA636D">
        <w:rPr>
          <w:rFonts w:ascii="Calibri"/>
        </w:rPr>
        <w:t xml:space="preserve"> years. The deed restriction will be recorded on the </w:t>
      </w:r>
      <w:r w:rsidR="004918B0" w:rsidRPr="00AA636D">
        <w:rPr>
          <w:rFonts w:ascii="Calibri"/>
        </w:rPr>
        <w:t>New Haven Land Records</w:t>
      </w:r>
      <w:r w:rsidRPr="00AA636D">
        <w:rPr>
          <w:rFonts w:ascii="Calibri"/>
        </w:rPr>
        <w:t xml:space="preserve"> in advance of final Certificate of Occupancy.</w:t>
      </w:r>
    </w:p>
    <w:p w14:paraId="071378B3" w14:textId="7E9B8684" w:rsidR="00257C2C" w:rsidRPr="00AA636D" w:rsidRDefault="009E2D12" w:rsidP="00657301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right="-30"/>
        <w:rPr>
          <w:rFonts w:ascii="Calibri"/>
        </w:rPr>
      </w:pPr>
      <w:r w:rsidRPr="00AA636D">
        <w:rPr>
          <w:rFonts w:ascii="Calibri"/>
        </w:rPr>
        <w:t xml:space="preserve">Rounding. When any calculation of the mandatory set aside results in a fractional income-restricted unit, the fraction </w:t>
      </w:r>
      <w:r w:rsidR="005B7C8B" w:rsidRPr="00AA636D">
        <w:rPr>
          <w:rFonts w:ascii="Calibri"/>
        </w:rPr>
        <w:t>is</w:t>
      </w:r>
      <w:r w:rsidRPr="00AA636D">
        <w:rPr>
          <w:rFonts w:ascii="Calibri"/>
        </w:rPr>
        <w:t xml:space="preserve"> rounded to the </w:t>
      </w:r>
      <w:r w:rsidR="00DE69B2" w:rsidRPr="00AA636D">
        <w:rPr>
          <w:rFonts w:ascii="Calibri"/>
        </w:rPr>
        <w:t xml:space="preserve">nearest </w:t>
      </w:r>
      <w:r w:rsidRPr="00AA636D">
        <w:rPr>
          <w:rFonts w:ascii="Calibri"/>
        </w:rPr>
        <w:t>whole</w:t>
      </w:r>
      <w:r w:rsidRPr="00AA636D">
        <w:rPr>
          <w:rFonts w:ascii="Calibri"/>
          <w:spacing w:val="-24"/>
        </w:rPr>
        <w:t xml:space="preserve"> </w:t>
      </w:r>
      <w:r w:rsidRPr="00AA636D">
        <w:rPr>
          <w:rFonts w:ascii="Calibri"/>
        </w:rPr>
        <w:t>unit.</w:t>
      </w:r>
      <w:r w:rsidR="00223F38">
        <w:rPr>
          <w:rFonts w:ascii="Calibri"/>
        </w:rPr>
        <w:t xml:space="preserve"> </w:t>
      </w:r>
      <w:r w:rsidR="00CD6D80">
        <w:rPr>
          <w:rFonts w:ascii="Calibri"/>
        </w:rPr>
        <w:t>If the calculation results in less than .5 units</w:t>
      </w:r>
      <w:r w:rsidR="000A26A6">
        <w:rPr>
          <w:rFonts w:ascii="Calibri"/>
        </w:rPr>
        <w:t xml:space="preserve"> total</w:t>
      </w:r>
      <w:r w:rsidR="00CD6D80">
        <w:rPr>
          <w:rFonts w:ascii="Calibri"/>
        </w:rPr>
        <w:t xml:space="preserve"> (which would be rounded to zero under this subsection), then one affordable unit will be required.</w:t>
      </w:r>
    </w:p>
    <w:p w14:paraId="37F9DB01" w14:textId="6F67E079" w:rsidR="00C15908" w:rsidRPr="00AA636D" w:rsidRDefault="00C15908" w:rsidP="00657301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right="-30"/>
        <w:rPr>
          <w:rFonts w:ascii="Calibri"/>
        </w:rPr>
      </w:pPr>
      <w:r w:rsidRPr="00AA636D">
        <w:rPr>
          <w:rFonts w:ascii="Calibri"/>
        </w:rPr>
        <w:t>Affordable Unit requirements.</w:t>
      </w:r>
    </w:p>
    <w:p w14:paraId="2D4FB22D" w14:textId="77777777" w:rsidR="00710B24" w:rsidRDefault="00FB28B4" w:rsidP="00C15908">
      <w:pPr>
        <w:pStyle w:val="ListParagraph"/>
        <w:numPr>
          <w:ilvl w:val="2"/>
          <w:numId w:val="20"/>
        </w:numPr>
        <w:tabs>
          <w:tab w:val="left" w:pos="1560"/>
          <w:tab w:val="left" w:pos="1561"/>
        </w:tabs>
        <w:spacing w:before="0" w:after="120"/>
        <w:ind w:right="-30"/>
        <w:rPr>
          <w:rFonts w:ascii="Calibri"/>
        </w:rPr>
      </w:pPr>
      <w:r>
        <w:rPr>
          <w:rFonts w:ascii="Calibri"/>
        </w:rPr>
        <w:t xml:space="preserve">Affordable Units </w:t>
      </w:r>
      <w:r w:rsidR="007948C8">
        <w:rPr>
          <w:rFonts w:ascii="Calibri"/>
        </w:rPr>
        <w:t>must be evenly distributed throughout the Inclusionary Development</w:t>
      </w:r>
      <w:r w:rsidR="00710B24">
        <w:rPr>
          <w:rFonts w:ascii="Calibri"/>
        </w:rPr>
        <w:t>, including across project phases.</w:t>
      </w:r>
    </w:p>
    <w:p w14:paraId="644B63E4" w14:textId="5CBCE05D" w:rsidR="0073499E" w:rsidRDefault="00984604" w:rsidP="00C15908">
      <w:pPr>
        <w:pStyle w:val="ListParagraph"/>
        <w:numPr>
          <w:ilvl w:val="2"/>
          <w:numId w:val="20"/>
        </w:numPr>
        <w:tabs>
          <w:tab w:val="left" w:pos="1560"/>
          <w:tab w:val="left" w:pos="1561"/>
        </w:tabs>
        <w:spacing w:before="0" w:after="120"/>
        <w:ind w:right="-30"/>
        <w:rPr>
          <w:rFonts w:ascii="Calibri"/>
        </w:rPr>
      </w:pPr>
      <w:r>
        <w:rPr>
          <w:rFonts w:ascii="Calibri"/>
        </w:rPr>
        <w:t>Affordable Units must be a mix of unit types</w:t>
      </w:r>
      <w:r w:rsidR="00674145">
        <w:rPr>
          <w:rFonts w:ascii="Calibri"/>
        </w:rPr>
        <w:t xml:space="preserve"> and</w:t>
      </w:r>
      <w:r w:rsidR="00E507BD">
        <w:rPr>
          <w:rFonts w:ascii="Calibri"/>
        </w:rPr>
        <w:t xml:space="preserve"> sizes</w:t>
      </w:r>
      <w:r>
        <w:rPr>
          <w:rFonts w:ascii="Calibri"/>
        </w:rPr>
        <w:t xml:space="preserve"> that matches the overall mix of unit types</w:t>
      </w:r>
      <w:r w:rsidR="00621E1D">
        <w:rPr>
          <w:rFonts w:ascii="Calibri"/>
        </w:rPr>
        <w:t xml:space="preserve"> and sizes</w:t>
      </w:r>
      <w:r>
        <w:rPr>
          <w:rFonts w:ascii="Calibri"/>
        </w:rPr>
        <w:t xml:space="preserve"> in the Inclusionary Development.</w:t>
      </w:r>
    </w:p>
    <w:p w14:paraId="7F1B66CF" w14:textId="600DB4DB" w:rsidR="00C15908" w:rsidRDefault="0073499E" w:rsidP="008D1165">
      <w:pPr>
        <w:pStyle w:val="ListParagraph"/>
        <w:numPr>
          <w:ilvl w:val="2"/>
          <w:numId w:val="20"/>
        </w:numPr>
        <w:tabs>
          <w:tab w:val="left" w:pos="1560"/>
          <w:tab w:val="left" w:pos="1561"/>
        </w:tabs>
        <w:spacing w:before="0" w:after="120"/>
        <w:ind w:right="-30"/>
        <w:rPr>
          <w:rFonts w:ascii="Calibri"/>
        </w:rPr>
      </w:pPr>
      <w:r>
        <w:rPr>
          <w:rFonts w:ascii="Calibri"/>
        </w:rPr>
        <w:t>Affordable Units must have comparable finishes and access to amenities to Market Rate Units in the Inclusionary Development.</w:t>
      </w:r>
      <w:r w:rsidR="007948C8">
        <w:rPr>
          <w:rFonts w:ascii="Calibri"/>
        </w:rPr>
        <w:t xml:space="preserve"> </w:t>
      </w:r>
    </w:p>
    <w:p w14:paraId="30FFF5DE" w14:textId="62168058" w:rsidR="00DA1F8C" w:rsidRDefault="00C15908" w:rsidP="00657301">
      <w:pPr>
        <w:pStyle w:val="ListParagraph"/>
        <w:numPr>
          <w:ilvl w:val="1"/>
          <w:numId w:val="20"/>
        </w:numPr>
        <w:tabs>
          <w:tab w:val="left" w:pos="1560"/>
          <w:tab w:val="left" w:pos="1561"/>
        </w:tabs>
        <w:spacing w:before="0" w:after="120"/>
        <w:ind w:right="-30"/>
        <w:rPr>
          <w:rFonts w:ascii="Calibri"/>
        </w:rPr>
      </w:pPr>
      <w:r>
        <w:rPr>
          <w:rFonts w:ascii="Calibri"/>
        </w:rPr>
        <w:t>A</w:t>
      </w:r>
      <w:r w:rsidR="0026327F">
        <w:rPr>
          <w:rFonts w:ascii="Calibri"/>
        </w:rPr>
        <w:t xml:space="preserve"> payment may be made in lieu of on-site construction, in accordance with Subsection 59(c) below.</w:t>
      </w:r>
    </w:p>
    <w:p w14:paraId="3475B396" w14:textId="2E667BF6" w:rsidR="00257C2C" w:rsidRPr="008D1165" w:rsidRDefault="009E2D12" w:rsidP="008D1165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0" w:after="120"/>
        <w:ind w:hanging="480"/>
        <w:rPr>
          <w:rFonts w:ascii="Calibri"/>
        </w:rPr>
      </w:pPr>
      <w:r>
        <w:rPr>
          <w:rFonts w:ascii="Calibri"/>
        </w:rPr>
        <w:t>Approving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Authority</w:t>
      </w:r>
      <w:r w:rsidR="0026327F">
        <w:rPr>
          <w:rFonts w:ascii="Calibri"/>
        </w:rPr>
        <w:t>.</w:t>
      </w:r>
      <w:r w:rsidR="00B618F6">
        <w:rPr>
          <w:rFonts w:ascii="Calibri"/>
        </w:rPr>
        <w:t xml:space="preserve"> </w:t>
      </w:r>
      <w:r w:rsidRPr="008D1165">
        <w:rPr>
          <w:rFonts w:ascii="Calibri"/>
        </w:rPr>
        <w:t>All</w:t>
      </w:r>
      <w:r w:rsidR="00035668" w:rsidRPr="008D1165">
        <w:rPr>
          <w:rFonts w:ascii="Calibri"/>
        </w:rPr>
        <w:t xml:space="preserve"> </w:t>
      </w:r>
      <w:r w:rsidR="007E7BE9" w:rsidRPr="008D1165">
        <w:rPr>
          <w:rFonts w:ascii="Calibri"/>
        </w:rPr>
        <w:t>Applicable</w:t>
      </w:r>
      <w:r w:rsidR="00B618F6">
        <w:rPr>
          <w:rFonts w:ascii="Calibri"/>
        </w:rPr>
        <w:t xml:space="preserve"> </w:t>
      </w:r>
      <w:r w:rsidR="00B53F49">
        <w:rPr>
          <w:rFonts w:ascii="Calibri"/>
        </w:rPr>
        <w:t>Developments</w:t>
      </w:r>
      <w:r w:rsidRPr="008D1165">
        <w:rPr>
          <w:rFonts w:ascii="Calibri"/>
        </w:rPr>
        <w:t xml:space="preserve"> </w:t>
      </w:r>
      <w:r w:rsidR="00FD6B51" w:rsidRPr="008D1165">
        <w:rPr>
          <w:rFonts w:ascii="Calibri"/>
        </w:rPr>
        <w:t>must</w:t>
      </w:r>
      <w:r w:rsidRPr="008D1165">
        <w:rPr>
          <w:rFonts w:ascii="Calibri"/>
        </w:rPr>
        <w:t xml:space="preserve"> be reviewed and approved by the </w:t>
      </w:r>
      <w:r w:rsidR="00E23C84" w:rsidRPr="008D1165">
        <w:rPr>
          <w:rFonts w:ascii="Calibri"/>
        </w:rPr>
        <w:t>City Plan Commission as part of Site Plan Review</w:t>
      </w:r>
      <w:r w:rsidR="00B618F6">
        <w:rPr>
          <w:rFonts w:ascii="Calibri"/>
        </w:rPr>
        <w:t xml:space="preserve"> or Detailed Site Plan Review</w:t>
      </w:r>
      <w:r w:rsidR="00895AF6" w:rsidRPr="008D1165">
        <w:rPr>
          <w:rFonts w:ascii="Calibri"/>
        </w:rPr>
        <w:t xml:space="preserve"> in accordance with Section 6</w:t>
      </w:r>
      <w:r w:rsidR="00C937F6">
        <w:rPr>
          <w:rFonts w:ascii="Calibri"/>
        </w:rPr>
        <w:t>4 and Section 50(e) below.</w:t>
      </w:r>
    </w:p>
    <w:p w14:paraId="7AAF716E" w14:textId="77777777" w:rsidR="00257C2C" w:rsidRDefault="00257C2C" w:rsidP="00B51A53">
      <w:pPr>
        <w:pStyle w:val="BodyText"/>
        <w:spacing w:before="0" w:after="120"/>
        <w:ind w:left="0"/>
        <w:rPr>
          <w:rFonts w:ascii="Calibri"/>
          <w:sz w:val="22"/>
        </w:rPr>
      </w:pPr>
    </w:p>
    <w:p w14:paraId="4D567F4F" w14:textId="409770A5" w:rsidR="00F74C27" w:rsidRDefault="00C75D5D" w:rsidP="00B51A53">
      <w:pPr>
        <w:spacing w:after="120"/>
        <w:ind w:left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50(</w:t>
      </w:r>
      <w:r w:rsidR="001F0242">
        <w:rPr>
          <w:rFonts w:ascii="Calibri" w:hAnsi="Calibri"/>
          <w:b/>
        </w:rPr>
        <w:t>c</w:t>
      </w:r>
      <w:r>
        <w:rPr>
          <w:rFonts w:ascii="Calibri" w:hAnsi="Calibri"/>
          <w:b/>
        </w:rPr>
        <w:t>). – Incentives for the Development of Affordable Housing Units.</w:t>
      </w:r>
    </w:p>
    <w:p w14:paraId="731CC458" w14:textId="43CD4217" w:rsidR="00F74C27" w:rsidRDefault="000E6077" w:rsidP="00B51A53">
      <w:pPr>
        <w:pStyle w:val="ListParagraph"/>
        <w:numPr>
          <w:ilvl w:val="0"/>
          <w:numId w:val="23"/>
        </w:numPr>
        <w:spacing w:before="0" w:after="120"/>
        <w:ind w:hanging="75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All </w:t>
      </w:r>
      <w:r w:rsidR="006F2640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 xml:space="preserve">pplicable </w:t>
      </w:r>
      <w:r w:rsidR="00AE1120">
        <w:rPr>
          <w:rFonts w:ascii="Calibri" w:hAnsi="Calibri"/>
          <w:bCs/>
        </w:rPr>
        <w:t>Inclusionary</w:t>
      </w:r>
      <w:r w:rsidR="00831BB2">
        <w:rPr>
          <w:rFonts w:ascii="Calibri" w:hAnsi="Calibri"/>
          <w:bCs/>
        </w:rPr>
        <w:t xml:space="preserve"> Developments</w:t>
      </w:r>
      <w:r w:rsidR="00AE1120">
        <w:rPr>
          <w:rFonts w:ascii="Calibri" w:hAnsi="Calibri"/>
          <w:bCs/>
        </w:rPr>
        <w:t xml:space="preserve">, whether mandatory or voluntary, are eligible </w:t>
      </w:r>
      <w:r w:rsidR="0075297C">
        <w:rPr>
          <w:rFonts w:ascii="Calibri" w:hAnsi="Calibri"/>
          <w:bCs/>
        </w:rPr>
        <w:t>for the following incentives, the purpose of which is to offset the cost burden of constructing</w:t>
      </w:r>
      <w:r w:rsidR="00E84516">
        <w:rPr>
          <w:rFonts w:ascii="Calibri" w:hAnsi="Calibri"/>
          <w:bCs/>
        </w:rPr>
        <w:t xml:space="preserve"> and </w:t>
      </w:r>
      <w:r w:rsidR="00E84516">
        <w:rPr>
          <w:rFonts w:ascii="Calibri" w:hAnsi="Calibri"/>
          <w:bCs/>
        </w:rPr>
        <w:lastRenderedPageBreak/>
        <w:t xml:space="preserve">maintaining </w:t>
      </w:r>
      <w:r w:rsidR="0075297C">
        <w:rPr>
          <w:rFonts w:ascii="Calibri" w:hAnsi="Calibri"/>
          <w:bCs/>
        </w:rPr>
        <w:t>affordable units</w:t>
      </w:r>
      <w:r w:rsidR="00E84516">
        <w:rPr>
          <w:rFonts w:ascii="Calibri" w:hAnsi="Calibri"/>
          <w:bCs/>
        </w:rPr>
        <w:t xml:space="preserve">. </w:t>
      </w:r>
    </w:p>
    <w:p w14:paraId="3F28ACC2" w14:textId="6A572E09" w:rsidR="0075297C" w:rsidRDefault="00E84516" w:rsidP="00B51A53">
      <w:pPr>
        <w:pStyle w:val="ListParagraph"/>
        <w:numPr>
          <w:ilvl w:val="1"/>
          <w:numId w:val="23"/>
        </w:numPr>
        <w:spacing w:before="0" w:after="120"/>
        <w:ind w:hanging="750"/>
        <w:rPr>
          <w:rFonts w:ascii="Calibri" w:hAnsi="Calibri"/>
          <w:bCs/>
        </w:rPr>
      </w:pPr>
      <w:r>
        <w:rPr>
          <w:rFonts w:ascii="Calibri" w:hAnsi="Calibri"/>
          <w:bCs/>
        </w:rPr>
        <w:t>FAR Bonus</w:t>
      </w:r>
      <w:r w:rsidR="00127B9E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  <w:r w:rsidR="007620E5">
        <w:rPr>
          <w:rFonts w:ascii="Calibri" w:hAnsi="Calibri"/>
          <w:bCs/>
        </w:rPr>
        <w:t xml:space="preserve">The Inclusionary Development is entitled to a bonus in FAR </w:t>
      </w:r>
      <w:r w:rsidR="007620E5" w:rsidRPr="004975A4">
        <w:rPr>
          <w:rFonts w:ascii="Calibri" w:hAnsi="Calibri"/>
          <w:bCs/>
        </w:rPr>
        <w:t>of up to 25%</w:t>
      </w:r>
      <w:r w:rsidR="004975A4">
        <w:rPr>
          <w:rFonts w:ascii="Calibri" w:hAnsi="Calibri"/>
          <w:bCs/>
        </w:rPr>
        <w:t xml:space="preserve"> </w:t>
      </w:r>
      <w:r w:rsidR="007620E5" w:rsidRPr="004975A4">
        <w:rPr>
          <w:rFonts w:ascii="Calibri" w:hAnsi="Calibri"/>
          <w:bCs/>
        </w:rPr>
        <w:t>over the permitted FAR in the underlying zone in which the property is located</w:t>
      </w:r>
      <w:r w:rsidR="007B0324" w:rsidRPr="004975A4">
        <w:rPr>
          <w:rFonts w:ascii="Calibri" w:hAnsi="Calibri"/>
          <w:bCs/>
        </w:rPr>
        <w:t xml:space="preserve">, </w:t>
      </w:r>
      <w:r w:rsidR="0040269C" w:rsidRPr="004975A4">
        <w:rPr>
          <w:rFonts w:ascii="Calibri" w:hAnsi="Calibri"/>
          <w:bCs/>
        </w:rPr>
        <w:t>but may</w:t>
      </w:r>
      <w:r w:rsidR="0040269C">
        <w:rPr>
          <w:rFonts w:ascii="Calibri" w:hAnsi="Calibri"/>
          <w:bCs/>
        </w:rPr>
        <w:t xml:space="preserve"> be otherwise limited by height restrictions and other bulk area requirements of the underlying zone</w:t>
      </w:r>
      <w:r w:rsidR="007620E5">
        <w:rPr>
          <w:rFonts w:ascii="Calibri" w:hAnsi="Calibri"/>
          <w:bCs/>
        </w:rPr>
        <w:t>.</w:t>
      </w:r>
    </w:p>
    <w:p w14:paraId="3C7BFD28" w14:textId="037A9472" w:rsidR="009E2180" w:rsidRDefault="009E2180" w:rsidP="00B51A53">
      <w:pPr>
        <w:pStyle w:val="ListParagraph"/>
        <w:numPr>
          <w:ilvl w:val="1"/>
          <w:numId w:val="23"/>
        </w:numPr>
        <w:spacing w:before="0" w:after="120"/>
        <w:ind w:hanging="750"/>
        <w:rPr>
          <w:rFonts w:ascii="Calibri" w:hAnsi="Calibri"/>
          <w:bCs/>
        </w:rPr>
      </w:pPr>
      <w:r>
        <w:rPr>
          <w:rFonts w:ascii="Calibri" w:hAnsi="Calibri"/>
          <w:bCs/>
        </w:rPr>
        <w:t>Waived Parking Minimums</w:t>
      </w:r>
      <w:r w:rsidR="00127B9E">
        <w:rPr>
          <w:rFonts w:ascii="Calibri" w:hAnsi="Calibri"/>
          <w:bCs/>
        </w:rPr>
        <w:t>.</w:t>
      </w:r>
      <w:r w:rsidR="007620E5">
        <w:rPr>
          <w:rFonts w:ascii="Calibri" w:hAnsi="Calibri"/>
          <w:bCs/>
        </w:rPr>
        <w:t xml:space="preserve"> The Inclusionary Development </w:t>
      </w:r>
      <w:r w:rsidR="00D10842">
        <w:rPr>
          <w:rFonts w:ascii="Calibri" w:hAnsi="Calibri"/>
          <w:bCs/>
        </w:rPr>
        <w:t xml:space="preserve">does not have a minimum amount of </w:t>
      </w:r>
      <w:r w:rsidR="00E2019F">
        <w:rPr>
          <w:rFonts w:ascii="Calibri" w:hAnsi="Calibri"/>
          <w:bCs/>
        </w:rPr>
        <w:t xml:space="preserve">automobile </w:t>
      </w:r>
      <w:r w:rsidR="00D10842">
        <w:rPr>
          <w:rFonts w:ascii="Calibri" w:hAnsi="Calibri"/>
          <w:bCs/>
        </w:rPr>
        <w:t xml:space="preserve">parking required </w:t>
      </w:r>
      <w:r w:rsidR="00856753">
        <w:rPr>
          <w:rFonts w:ascii="Calibri" w:hAnsi="Calibri"/>
          <w:bCs/>
        </w:rPr>
        <w:t xml:space="preserve">for Residential uses </w:t>
      </w:r>
      <w:r w:rsidR="00D10842">
        <w:rPr>
          <w:rFonts w:ascii="Calibri" w:hAnsi="Calibri"/>
          <w:bCs/>
        </w:rPr>
        <w:t xml:space="preserve">but may elect to include parking </w:t>
      </w:r>
      <w:r w:rsidR="00D129D7">
        <w:rPr>
          <w:rFonts w:ascii="Calibri" w:hAnsi="Calibri"/>
          <w:bCs/>
        </w:rPr>
        <w:t xml:space="preserve">as part of the development. Sections 29 and </w:t>
      </w:r>
      <w:r w:rsidR="00856753">
        <w:rPr>
          <w:rFonts w:ascii="Calibri" w:hAnsi="Calibri"/>
          <w:bCs/>
        </w:rPr>
        <w:t>45</w:t>
      </w:r>
      <w:r w:rsidR="007C03AC">
        <w:rPr>
          <w:rFonts w:ascii="Calibri" w:hAnsi="Calibri"/>
          <w:bCs/>
        </w:rPr>
        <w:t xml:space="preserve"> of the Zoning Ordinance</w:t>
      </w:r>
      <w:r w:rsidR="00856753">
        <w:rPr>
          <w:rFonts w:ascii="Calibri" w:hAnsi="Calibri"/>
          <w:bCs/>
        </w:rPr>
        <w:t xml:space="preserve">, as they relate to </w:t>
      </w:r>
      <w:r w:rsidR="00515B8B">
        <w:rPr>
          <w:rFonts w:ascii="Calibri" w:hAnsi="Calibri"/>
          <w:bCs/>
        </w:rPr>
        <w:t xml:space="preserve">parking for </w:t>
      </w:r>
      <w:r w:rsidR="00856753">
        <w:rPr>
          <w:rFonts w:ascii="Calibri" w:hAnsi="Calibri"/>
          <w:bCs/>
        </w:rPr>
        <w:t>Residential use</w:t>
      </w:r>
      <w:r w:rsidR="00515B8B">
        <w:rPr>
          <w:rFonts w:ascii="Calibri" w:hAnsi="Calibri"/>
          <w:bCs/>
        </w:rPr>
        <w:t>s</w:t>
      </w:r>
      <w:r w:rsidR="00856753">
        <w:rPr>
          <w:rFonts w:ascii="Calibri" w:hAnsi="Calibri"/>
          <w:bCs/>
        </w:rPr>
        <w:t>, are waived</w:t>
      </w:r>
      <w:r w:rsidR="00424177">
        <w:rPr>
          <w:rFonts w:ascii="Calibri" w:hAnsi="Calibri"/>
          <w:bCs/>
        </w:rPr>
        <w:t xml:space="preserve">; however, </w:t>
      </w:r>
      <w:r w:rsidR="002733B9">
        <w:rPr>
          <w:rFonts w:ascii="Calibri" w:hAnsi="Calibri"/>
          <w:bCs/>
        </w:rPr>
        <w:t xml:space="preserve">notwithstanding the foregoing, </w:t>
      </w:r>
      <w:r w:rsidR="00424177">
        <w:rPr>
          <w:rFonts w:ascii="Calibri" w:hAnsi="Calibri"/>
          <w:bCs/>
        </w:rPr>
        <w:t xml:space="preserve">the Inclusionary Development must comply with bicycle parking requirements. As part of its review, the City Plan Commission may require additional bicycle parking </w:t>
      </w:r>
      <w:r w:rsidR="00986429">
        <w:rPr>
          <w:rFonts w:ascii="Calibri" w:hAnsi="Calibri"/>
          <w:bCs/>
        </w:rPr>
        <w:t>as a condition of approval.</w:t>
      </w:r>
      <w:r w:rsidR="007C03AC">
        <w:rPr>
          <w:rFonts w:ascii="Calibri" w:hAnsi="Calibri"/>
          <w:bCs/>
        </w:rPr>
        <w:t xml:space="preserve"> Where </w:t>
      </w:r>
      <w:r w:rsidR="00FF3B6D">
        <w:rPr>
          <w:rFonts w:ascii="Calibri" w:hAnsi="Calibri"/>
          <w:bCs/>
        </w:rPr>
        <w:t xml:space="preserve">(i) the Inclusionary Development is mixed-use with a commercial component or (ii) parking is provided voluntarily, </w:t>
      </w:r>
      <w:r w:rsidR="007C03AC">
        <w:rPr>
          <w:rFonts w:ascii="Calibri" w:hAnsi="Calibri"/>
          <w:bCs/>
        </w:rPr>
        <w:t xml:space="preserve">the Inclusionary Development must also include </w:t>
      </w:r>
      <w:r w:rsidR="002F55DC">
        <w:rPr>
          <w:rFonts w:ascii="Calibri" w:hAnsi="Calibri"/>
          <w:bCs/>
        </w:rPr>
        <w:t>loading spaces</w:t>
      </w:r>
      <w:r w:rsidR="00AB2891">
        <w:rPr>
          <w:rFonts w:ascii="Calibri" w:hAnsi="Calibri"/>
          <w:bCs/>
        </w:rPr>
        <w:t xml:space="preserve"> in accordance with Section </w:t>
      </w:r>
      <w:r w:rsidR="004C658A">
        <w:rPr>
          <w:rFonts w:ascii="Calibri" w:hAnsi="Calibri"/>
          <w:bCs/>
        </w:rPr>
        <w:t>45(a)(1)</w:t>
      </w:r>
      <w:r w:rsidR="00FF3B6D">
        <w:rPr>
          <w:rFonts w:ascii="Calibri" w:hAnsi="Calibri"/>
          <w:bCs/>
        </w:rPr>
        <w:t xml:space="preserve">b. </w:t>
      </w:r>
      <w:r w:rsidR="00823867">
        <w:rPr>
          <w:rFonts w:ascii="Calibri" w:hAnsi="Calibri"/>
          <w:bCs/>
        </w:rPr>
        <w:t xml:space="preserve">and must provide a Traffic Impact Study </w:t>
      </w:r>
      <w:r w:rsidR="006436CF">
        <w:rPr>
          <w:rFonts w:ascii="Calibri" w:hAnsi="Calibri"/>
          <w:bCs/>
        </w:rPr>
        <w:t xml:space="preserve">as part of the site plan review application </w:t>
      </w:r>
      <w:r w:rsidR="00823867">
        <w:rPr>
          <w:rFonts w:ascii="Calibri" w:hAnsi="Calibri"/>
          <w:bCs/>
        </w:rPr>
        <w:t xml:space="preserve">in accordance with Section </w:t>
      </w:r>
      <w:r w:rsidR="00823867" w:rsidRPr="00AA636D">
        <w:rPr>
          <w:rFonts w:ascii="Calibri" w:hAnsi="Calibri"/>
          <w:bCs/>
          <w:highlight w:val="yellow"/>
        </w:rPr>
        <w:t>_______</w:t>
      </w:r>
      <w:r w:rsidR="00823867">
        <w:rPr>
          <w:rFonts w:ascii="Calibri" w:hAnsi="Calibri"/>
          <w:bCs/>
        </w:rPr>
        <w:t xml:space="preserve"> of the New Haven Zoning Ordinance.</w:t>
      </w:r>
      <w:r w:rsidR="00AA636D">
        <w:rPr>
          <w:rFonts w:ascii="Calibri" w:hAnsi="Calibri"/>
          <w:bCs/>
        </w:rPr>
        <w:t xml:space="preserve"> </w:t>
      </w:r>
      <w:r w:rsidR="004975A4" w:rsidRPr="00771A7B">
        <w:rPr>
          <w:rFonts w:ascii="Calibri" w:hAnsi="Calibri"/>
          <w:bCs/>
          <w:highlight w:val="yellow"/>
        </w:rPr>
        <w:t xml:space="preserve">[We will be proposing a separate and simultaneous zoning amendment to the </w:t>
      </w:r>
      <w:r w:rsidR="00771A7B" w:rsidRPr="00771A7B">
        <w:rPr>
          <w:rFonts w:ascii="Calibri" w:hAnsi="Calibri"/>
          <w:bCs/>
          <w:highlight w:val="yellow"/>
        </w:rPr>
        <w:t xml:space="preserve">City Plan Commission criteria </w:t>
      </w:r>
      <w:proofErr w:type="gramStart"/>
      <w:r w:rsidR="00771A7B" w:rsidRPr="00771A7B">
        <w:rPr>
          <w:rFonts w:ascii="Calibri" w:hAnsi="Calibri"/>
          <w:bCs/>
          <w:highlight w:val="yellow"/>
        </w:rPr>
        <w:t>with regard to</w:t>
      </w:r>
      <w:proofErr w:type="gramEnd"/>
      <w:r w:rsidR="00771A7B" w:rsidRPr="00771A7B">
        <w:rPr>
          <w:rFonts w:ascii="Calibri" w:hAnsi="Calibri"/>
          <w:bCs/>
          <w:highlight w:val="yellow"/>
        </w:rPr>
        <w:t xml:space="preserve"> a Traffic Impact Study.]</w:t>
      </w:r>
    </w:p>
    <w:p w14:paraId="02438B3B" w14:textId="43A94E78" w:rsidR="009E2180" w:rsidRDefault="009E2180" w:rsidP="00B51A53">
      <w:pPr>
        <w:pStyle w:val="ListParagraph"/>
        <w:numPr>
          <w:ilvl w:val="1"/>
          <w:numId w:val="23"/>
        </w:numPr>
        <w:spacing w:before="0" w:after="120"/>
        <w:ind w:hanging="750"/>
        <w:rPr>
          <w:rFonts w:ascii="Calibri" w:hAnsi="Calibri"/>
          <w:bCs/>
        </w:rPr>
      </w:pPr>
      <w:r>
        <w:rPr>
          <w:rFonts w:ascii="Calibri" w:hAnsi="Calibri"/>
          <w:bCs/>
        </w:rPr>
        <w:t>Density Bonus</w:t>
      </w:r>
      <w:r w:rsidR="00227F02">
        <w:rPr>
          <w:rFonts w:ascii="Calibri" w:hAnsi="Calibri"/>
          <w:bCs/>
        </w:rPr>
        <w:t xml:space="preserve">. </w:t>
      </w:r>
      <w:r w:rsidR="00B04DAE">
        <w:rPr>
          <w:rFonts w:ascii="Calibri" w:hAnsi="Calibri"/>
          <w:bCs/>
        </w:rPr>
        <w:t xml:space="preserve">Irrespective of </w:t>
      </w:r>
      <w:r w:rsidR="00AE6CD8">
        <w:rPr>
          <w:rFonts w:ascii="Calibri" w:hAnsi="Calibri"/>
          <w:bCs/>
        </w:rPr>
        <w:t xml:space="preserve">density </w:t>
      </w:r>
      <w:r w:rsidR="00E01797">
        <w:rPr>
          <w:rFonts w:ascii="Calibri" w:hAnsi="Calibri"/>
          <w:bCs/>
        </w:rPr>
        <w:t>limitations in the underlying zone, t</w:t>
      </w:r>
      <w:r w:rsidR="00227F02">
        <w:rPr>
          <w:rFonts w:ascii="Calibri" w:hAnsi="Calibri"/>
          <w:bCs/>
        </w:rPr>
        <w:t xml:space="preserve">he Inclusionary Development is entitled to a </w:t>
      </w:r>
      <w:r w:rsidR="00757EF5">
        <w:rPr>
          <w:rFonts w:ascii="Calibri" w:hAnsi="Calibri"/>
          <w:bCs/>
        </w:rPr>
        <w:t xml:space="preserve">density of </w:t>
      </w:r>
      <w:r w:rsidR="00817C96">
        <w:rPr>
          <w:rFonts w:ascii="Calibri" w:hAnsi="Calibri"/>
          <w:bCs/>
        </w:rPr>
        <w:t xml:space="preserve">six hundred </w:t>
      </w:r>
      <w:r w:rsidR="00D65A94">
        <w:rPr>
          <w:rFonts w:ascii="Calibri" w:hAnsi="Calibri"/>
          <w:bCs/>
        </w:rPr>
        <w:t xml:space="preserve"> (</w:t>
      </w:r>
      <w:r w:rsidR="00817C96">
        <w:rPr>
          <w:rFonts w:ascii="Calibri" w:hAnsi="Calibri"/>
          <w:bCs/>
        </w:rPr>
        <w:t>600</w:t>
      </w:r>
      <w:r w:rsidR="00D65A94">
        <w:rPr>
          <w:rFonts w:ascii="Calibri" w:hAnsi="Calibri"/>
          <w:bCs/>
        </w:rPr>
        <w:t>)</w:t>
      </w:r>
      <w:r w:rsidR="00757EF5">
        <w:rPr>
          <w:rFonts w:ascii="Calibri" w:hAnsi="Calibri"/>
          <w:bCs/>
        </w:rPr>
        <w:t xml:space="preserve"> square feet </w:t>
      </w:r>
      <w:r w:rsidR="00282CF1">
        <w:rPr>
          <w:rFonts w:ascii="Calibri" w:hAnsi="Calibri"/>
          <w:bCs/>
        </w:rPr>
        <w:t>for the average</w:t>
      </w:r>
      <w:r w:rsidR="00757EF5">
        <w:rPr>
          <w:rFonts w:ascii="Calibri" w:hAnsi="Calibri"/>
          <w:bCs/>
        </w:rPr>
        <w:t xml:space="preserve"> </w:t>
      </w:r>
      <w:r w:rsidR="00757EF5" w:rsidRPr="008D1165">
        <w:rPr>
          <w:rFonts w:ascii="Calibri" w:hAnsi="Calibri"/>
          <w:b/>
          <w:i/>
          <w:iCs/>
        </w:rPr>
        <w:t>gross floor area</w:t>
      </w:r>
      <w:r w:rsidR="00456E7E">
        <w:rPr>
          <w:rFonts w:ascii="Calibri" w:hAnsi="Calibri"/>
          <w:bCs/>
        </w:rPr>
        <w:t xml:space="preserve"> per dwelling unit.</w:t>
      </w:r>
      <w:r w:rsidR="00521A43" w:rsidRPr="00521A43">
        <w:t xml:space="preserve"> </w:t>
      </w:r>
      <w:r w:rsidR="00521A43">
        <w:rPr>
          <w:rFonts w:ascii="Calibri" w:hAnsi="Calibri"/>
          <w:bCs/>
        </w:rPr>
        <w:t>This</w:t>
      </w:r>
      <w:r w:rsidR="006436CF">
        <w:rPr>
          <w:rFonts w:ascii="Calibri" w:hAnsi="Calibri"/>
          <w:bCs/>
        </w:rPr>
        <w:t xml:space="preserve"> </w:t>
      </w:r>
      <w:r w:rsidR="00521A43" w:rsidRPr="00521A43">
        <w:rPr>
          <w:rFonts w:ascii="Calibri" w:hAnsi="Calibri"/>
          <w:bCs/>
        </w:rPr>
        <w:t xml:space="preserve">reduction </w:t>
      </w:r>
      <w:r w:rsidR="00521A43">
        <w:rPr>
          <w:rFonts w:ascii="Calibri" w:hAnsi="Calibri"/>
          <w:bCs/>
        </w:rPr>
        <w:t>is</w:t>
      </w:r>
      <w:r w:rsidR="00521A43" w:rsidRPr="00521A43">
        <w:rPr>
          <w:rFonts w:ascii="Calibri" w:hAnsi="Calibri"/>
          <w:bCs/>
        </w:rPr>
        <w:t xml:space="preserve"> applicable to all structures, regardless of age and lot size,</w:t>
      </w:r>
      <w:r w:rsidR="00521A43">
        <w:rPr>
          <w:rFonts w:ascii="Calibri" w:hAnsi="Calibri"/>
          <w:bCs/>
        </w:rPr>
        <w:t xml:space="preserve"> whether conforming or nonconforming,</w:t>
      </w:r>
      <w:r w:rsidR="00521A43" w:rsidRPr="00521A43">
        <w:rPr>
          <w:rFonts w:ascii="Calibri" w:hAnsi="Calibri"/>
          <w:bCs/>
        </w:rPr>
        <w:t xml:space="preserve"> so long as they are permissible under applicable building codes.</w:t>
      </w:r>
    </w:p>
    <w:p w14:paraId="71175D90" w14:textId="45EE2412" w:rsidR="002133A1" w:rsidRDefault="002133A1" w:rsidP="00B51A53">
      <w:pPr>
        <w:pStyle w:val="ListParagraph"/>
        <w:numPr>
          <w:ilvl w:val="1"/>
          <w:numId w:val="23"/>
        </w:numPr>
        <w:spacing w:before="0" w:after="120"/>
        <w:ind w:hanging="750"/>
        <w:rPr>
          <w:rFonts w:ascii="Calibri" w:hAnsi="Calibri"/>
          <w:bCs/>
        </w:rPr>
      </w:pPr>
      <w:r>
        <w:rPr>
          <w:rFonts w:ascii="Calibri" w:hAnsi="Calibri"/>
          <w:bCs/>
        </w:rPr>
        <w:t>In addition to Zoning Incentives, Tax Abatement benefits shall be addressed unde</w:t>
      </w:r>
      <w:r w:rsidRPr="00657301">
        <w:rPr>
          <w:rFonts w:ascii="Calibri" w:hAnsi="Calibri"/>
          <w:bCs/>
          <w:highlight w:val="yellow"/>
        </w:rPr>
        <w:t>r…</w:t>
      </w:r>
      <w:r>
        <w:rPr>
          <w:rFonts w:ascii="Calibri" w:hAnsi="Calibri"/>
          <w:bCs/>
        </w:rPr>
        <w:t xml:space="preserve"> </w:t>
      </w:r>
    </w:p>
    <w:p w14:paraId="0EFC15D2" w14:textId="4F128549" w:rsidR="000E6077" w:rsidRDefault="000E6077" w:rsidP="00B51A53">
      <w:pPr>
        <w:spacing w:after="120"/>
        <w:ind w:left="90"/>
        <w:jc w:val="both"/>
        <w:rPr>
          <w:rFonts w:ascii="Calibri" w:hAnsi="Calibri"/>
          <w:bCs/>
        </w:rPr>
      </w:pPr>
    </w:p>
    <w:p w14:paraId="7ECE28A8" w14:textId="006231CD" w:rsidR="001F0242" w:rsidRDefault="001F0242" w:rsidP="00B51A53">
      <w:pPr>
        <w:spacing w:after="120"/>
        <w:ind w:left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50(d). – Payment In Lieu of </w:t>
      </w:r>
      <w:r w:rsidR="001D561D">
        <w:rPr>
          <w:rFonts w:ascii="Calibri" w:hAnsi="Calibri"/>
          <w:b/>
        </w:rPr>
        <w:t>Developing</w:t>
      </w:r>
      <w:r>
        <w:rPr>
          <w:rFonts w:ascii="Calibri" w:hAnsi="Calibri"/>
          <w:b/>
        </w:rPr>
        <w:t xml:space="preserve"> Affordable Housing Units</w:t>
      </w:r>
    </w:p>
    <w:p w14:paraId="45FA9E61" w14:textId="254F9A3A" w:rsidR="001F0242" w:rsidRPr="00927468" w:rsidRDefault="001F0242" w:rsidP="00B51A53">
      <w:pPr>
        <w:spacing w:after="120"/>
        <w:ind w:left="120"/>
        <w:jc w:val="both"/>
        <w:rPr>
          <w:rFonts w:ascii="Calibri"/>
        </w:rPr>
      </w:pPr>
      <w:r>
        <w:rPr>
          <w:rFonts w:ascii="Calibri"/>
        </w:rPr>
        <w:t xml:space="preserve">For projects meeting Section 50(b)(1) A. and B., </w:t>
      </w:r>
      <w:r w:rsidR="00082FEB">
        <w:rPr>
          <w:rFonts w:ascii="Calibri"/>
        </w:rPr>
        <w:t>the property owner/developer</w:t>
      </w:r>
      <w:r>
        <w:rPr>
          <w:rFonts w:ascii="Calibri"/>
        </w:rPr>
        <w:t xml:space="preserve"> may pay a fee in lieu of building on-site affordable units for some or all the obligation in accordance with the following:</w:t>
      </w:r>
    </w:p>
    <w:p w14:paraId="3A9AD810" w14:textId="078914A0" w:rsidR="001F0242" w:rsidRDefault="00FD2DBC" w:rsidP="00B51A53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spacing w:before="0" w:after="120"/>
        <w:rPr>
          <w:rFonts w:ascii="Calibri"/>
        </w:rPr>
      </w:pPr>
      <w:r>
        <w:rPr>
          <w:rFonts w:ascii="Calibri"/>
        </w:rPr>
        <w:t>A</w:t>
      </w:r>
      <w:r w:rsidR="001F0242">
        <w:rPr>
          <w:rFonts w:ascii="Calibri"/>
        </w:rPr>
        <w:t xml:space="preserve"> developer may provide a payment in lieu of constructing the affordable housing obligation into the City of New Haven</w:t>
      </w:r>
      <w:r w:rsidR="001F0242">
        <w:rPr>
          <w:rFonts w:ascii="Calibri"/>
        </w:rPr>
        <w:t>’</w:t>
      </w:r>
      <w:r w:rsidR="001F0242">
        <w:rPr>
          <w:rFonts w:ascii="Calibri"/>
        </w:rPr>
        <w:t xml:space="preserve">s </w:t>
      </w:r>
      <w:r w:rsidR="00771A7B">
        <w:rPr>
          <w:rFonts w:ascii="Calibri"/>
        </w:rPr>
        <w:t>[</w:t>
      </w:r>
      <w:r w:rsidR="001F0242" w:rsidRPr="00771A7B">
        <w:rPr>
          <w:rFonts w:ascii="Calibri"/>
          <w:highlight w:val="yellow"/>
        </w:rPr>
        <w:t>Affordable Housing Trust Fund</w:t>
      </w:r>
      <w:r w:rsidR="00771A7B">
        <w:rPr>
          <w:rFonts w:ascii="Calibri"/>
        </w:rPr>
        <w:t>]</w:t>
      </w:r>
      <w:r w:rsidR="001F0242">
        <w:rPr>
          <w:rFonts w:ascii="Calibri"/>
        </w:rPr>
        <w:t xml:space="preserve">. </w:t>
      </w:r>
      <w:r w:rsidR="00FE1351">
        <w:rPr>
          <w:rFonts w:ascii="Calibri"/>
        </w:rPr>
        <w:t xml:space="preserve">A developer may </w:t>
      </w:r>
      <w:r w:rsidR="00DB5256">
        <w:rPr>
          <w:rFonts w:ascii="Calibri"/>
        </w:rPr>
        <w:t xml:space="preserve">build a portion of the </w:t>
      </w:r>
      <w:r w:rsidR="004B1369">
        <w:rPr>
          <w:rFonts w:ascii="Calibri"/>
        </w:rPr>
        <w:t xml:space="preserve">required Affordable Units and </w:t>
      </w:r>
      <w:r w:rsidR="00FE1351">
        <w:rPr>
          <w:rFonts w:ascii="Calibri"/>
        </w:rPr>
        <w:t>provide</w:t>
      </w:r>
      <w:r w:rsidR="00DB5256">
        <w:rPr>
          <w:rFonts w:ascii="Calibri"/>
        </w:rPr>
        <w:t xml:space="preserve"> a payment in lieu of </w:t>
      </w:r>
      <w:r w:rsidR="004B1369">
        <w:rPr>
          <w:rFonts w:ascii="Calibri"/>
        </w:rPr>
        <w:t>the remainder of the required</w:t>
      </w:r>
      <w:r w:rsidR="00DB5256">
        <w:rPr>
          <w:rFonts w:ascii="Calibri"/>
        </w:rPr>
        <w:t xml:space="preserve"> Affordable Units.</w:t>
      </w:r>
      <w:r w:rsidR="004B1369">
        <w:rPr>
          <w:rFonts w:ascii="Calibri"/>
        </w:rPr>
        <w:t xml:space="preserve"> </w:t>
      </w:r>
      <w:r w:rsidR="00740EB5">
        <w:rPr>
          <w:rFonts w:ascii="Calibri"/>
        </w:rPr>
        <w:t>However, t</w:t>
      </w:r>
      <w:r w:rsidR="001F0242">
        <w:rPr>
          <w:rFonts w:ascii="Calibri"/>
        </w:rPr>
        <w:t xml:space="preserve">he policy of this </w:t>
      </w:r>
      <w:r w:rsidR="001E3258">
        <w:rPr>
          <w:rFonts w:ascii="Calibri"/>
        </w:rPr>
        <w:t xml:space="preserve">Section </w:t>
      </w:r>
      <w:r w:rsidR="001F0242">
        <w:rPr>
          <w:rFonts w:ascii="Calibri"/>
        </w:rPr>
        <w:t>favors construction of on-site affordable units.</w:t>
      </w:r>
    </w:p>
    <w:p w14:paraId="2442C2EE" w14:textId="011FD9FA" w:rsidR="001F0242" w:rsidRDefault="00422C40" w:rsidP="008D1165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spacing w:before="0" w:after="120"/>
        <w:ind w:right="100"/>
        <w:rPr>
          <w:rFonts w:ascii="Calibri"/>
        </w:rPr>
      </w:pPr>
      <w:r>
        <w:rPr>
          <w:rFonts w:ascii="Calibri" w:hAnsi="Calibri"/>
        </w:rPr>
        <w:t xml:space="preserve">Payment in-lieu fee. </w:t>
      </w:r>
      <w:r w:rsidR="001F0242" w:rsidRPr="00CF628C">
        <w:rPr>
          <w:rFonts w:ascii="Calibri" w:hAnsi="Calibri"/>
        </w:rPr>
        <w:t xml:space="preserve">The amount of the payment-in-lieu figure </w:t>
      </w:r>
      <w:r w:rsidR="001F0242">
        <w:rPr>
          <w:rFonts w:ascii="Calibri" w:hAnsi="Calibri"/>
        </w:rPr>
        <w:t xml:space="preserve">is </w:t>
      </w:r>
      <w:r w:rsidR="001F0242" w:rsidRPr="00CF628C">
        <w:rPr>
          <w:rFonts w:ascii="Calibri" w:hAnsi="Calibri"/>
        </w:rPr>
        <w:t xml:space="preserve">based upon a tiered payment-in-lieu system that </w:t>
      </w:r>
      <w:r w:rsidR="006B4B97">
        <w:rPr>
          <w:rFonts w:ascii="Calibri" w:hAnsi="Calibri"/>
        </w:rPr>
        <w:t xml:space="preserve">will be reassessed every </w:t>
      </w:r>
      <w:r w:rsidR="00014E78">
        <w:rPr>
          <w:rFonts w:ascii="Calibri" w:hAnsi="Calibri"/>
        </w:rPr>
        <w:t>3</w:t>
      </w:r>
      <w:r w:rsidR="006B4B97">
        <w:rPr>
          <w:rFonts w:ascii="Calibri" w:hAnsi="Calibri"/>
        </w:rPr>
        <w:t xml:space="preserve"> years</w:t>
      </w:r>
      <w:r w:rsidR="001F0242" w:rsidRPr="00CF628C">
        <w:rPr>
          <w:rFonts w:ascii="Calibri" w:hAnsi="Calibri"/>
        </w:rPr>
        <w:t xml:space="preserve"> </w:t>
      </w:r>
      <w:r w:rsidR="00946E2D">
        <w:rPr>
          <w:rFonts w:ascii="Calibri" w:hAnsi="Calibri"/>
        </w:rPr>
        <w:t>from the effective date of this Section’s adoption</w:t>
      </w:r>
      <w:r w:rsidR="001F0242" w:rsidRPr="00CF628C">
        <w:rPr>
          <w:rFonts w:ascii="Calibri" w:hAnsi="Calibri"/>
        </w:rPr>
        <w:t xml:space="preserve">. </w:t>
      </w:r>
      <w:r w:rsidR="003B1A24">
        <w:rPr>
          <w:rFonts w:ascii="Calibri" w:hAnsi="Calibri"/>
        </w:rPr>
        <w:t>The fees and any assessed premium</w:t>
      </w:r>
      <w:r w:rsidR="00F07609">
        <w:rPr>
          <w:rFonts w:ascii="Calibri" w:hAnsi="Calibri"/>
        </w:rPr>
        <w:t xml:space="preserve"> </w:t>
      </w:r>
      <w:proofErr w:type="gramStart"/>
      <w:r w:rsidR="00F46757">
        <w:rPr>
          <w:rFonts w:ascii="Calibri" w:hAnsi="Calibri"/>
        </w:rPr>
        <w:t>is</w:t>
      </w:r>
      <w:proofErr w:type="gramEnd"/>
      <w:r w:rsidR="00BE0A63">
        <w:rPr>
          <w:rFonts w:ascii="Calibri" w:hAnsi="Calibri"/>
        </w:rPr>
        <w:t xml:space="preserve"> available in the New Haven Affordable Housing Manual and</w:t>
      </w:r>
      <w:r w:rsidR="00F46757">
        <w:rPr>
          <w:rFonts w:ascii="Calibri" w:hAnsi="Calibri"/>
        </w:rPr>
        <w:t xml:space="preserve"> is</w:t>
      </w:r>
      <w:r w:rsidR="007843C5">
        <w:rPr>
          <w:rFonts w:ascii="Calibri" w:hAnsi="Calibri"/>
        </w:rPr>
        <w:t xml:space="preserve"> on file with City Plan Department and the Livable City Initiative.</w:t>
      </w:r>
    </w:p>
    <w:p w14:paraId="303CF802" w14:textId="4C396302" w:rsidR="001F0242" w:rsidRPr="00D2057C" w:rsidRDefault="00E205B2" w:rsidP="00B51A53">
      <w:pPr>
        <w:pStyle w:val="ListParagraph"/>
        <w:numPr>
          <w:ilvl w:val="0"/>
          <w:numId w:val="18"/>
        </w:numPr>
        <w:tabs>
          <w:tab w:val="left" w:pos="1560"/>
          <w:tab w:val="left" w:pos="1561"/>
        </w:tabs>
        <w:spacing w:before="0" w:after="120"/>
        <w:rPr>
          <w:rFonts w:ascii="Calibri"/>
        </w:rPr>
      </w:pPr>
      <w:r>
        <w:rPr>
          <w:rFonts w:ascii="Calibri"/>
        </w:rPr>
        <w:t xml:space="preserve">Condition of Approval. </w:t>
      </w:r>
      <w:r w:rsidR="007F7F86">
        <w:rPr>
          <w:rFonts w:ascii="Calibri"/>
        </w:rPr>
        <w:t xml:space="preserve">In advance of </w:t>
      </w:r>
      <w:r w:rsidR="0060626C">
        <w:rPr>
          <w:rFonts w:ascii="Calibri"/>
        </w:rPr>
        <w:t xml:space="preserve">Site Plan </w:t>
      </w:r>
      <w:r w:rsidR="00CC636E">
        <w:rPr>
          <w:rFonts w:ascii="Calibri"/>
        </w:rPr>
        <w:t xml:space="preserve">Review </w:t>
      </w:r>
      <w:r w:rsidR="009554CC">
        <w:rPr>
          <w:rFonts w:ascii="Calibri"/>
        </w:rPr>
        <w:t>by</w:t>
      </w:r>
      <w:r w:rsidR="00CC636E">
        <w:rPr>
          <w:rFonts w:ascii="Calibri"/>
        </w:rPr>
        <w:t xml:space="preserve"> the City Plan Commission, the developer must supply the Affordable Housing Agreement</w:t>
      </w:r>
      <w:r w:rsidR="009554CC">
        <w:rPr>
          <w:rFonts w:ascii="Calibri"/>
        </w:rPr>
        <w:t>, deed restriction, and</w:t>
      </w:r>
      <w:r w:rsidR="00435111">
        <w:rPr>
          <w:rFonts w:ascii="Calibri"/>
        </w:rPr>
        <w:t xml:space="preserve"> Payment in Lieu of Agreement to the Director of the Livable City Initiative.</w:t>
      </w:r>
      <w:r w:rsidR="00EF089A">
        <w:rPr>
          <w:rFonts w:ascii="Calibri"/>
        </w:rPr>
        <w:t xml:space="preserve"> </w:t>
      </w:r>
      <w:r w:rsidR="00A3700A">
        <w:rPr>
          <w:rFonts w:ascii="Calibri"/>
        </w:rPr>
        <w:t>[</w:t>
      </w:r>
      <w:r w:rsidR="00A3700A" w:rsidRPr="00A3700A">
        <w:rPr>
          <w:rFonts w:ascii="Calibri"/>
          <w:highlight w:val="yellow"/>
        </w:rPr>
        <w:t>Th</w:t>
      </w:r>
      <w:r w:rsidR="00E65362">
        <w:rPr>
          <w:rFonts w:ascii="Calibri"/>
          <w:highlight w:val="yellow"/>
        </w:rPr>
        <w:t>ese</w:t>
      </w:r>
      <w:r w:rsidR="00A3700A" w:rsidRPr="00A3700A">
        <w:rPr>
          <w:rFonts w:ascii="Calibri"/>
          <w:highlight w:val="yellow"/>
        </w:rPr>
        <w:t xml:space="preserve"> document</w:t>
      </w:r>
      <w:r w:rsidR="00E65362">
        <w:rPr>
          <w:rFonts w:ascii="Calibri"/>
          <w:highlight w:val="yellow"/>
        </w:rPr>
        <w:t>s</w:t>
      </w:r>
      <w:r w:rsidR="00A3700A" w:rsidRPr="00A3700A">
        <w:rPr>
          <w:rFonts w:ascii="Calibri"/>
          <w:highlight w:val="yellow"/>
        </w:rPr>
        <w:t xml:space="preserve"> are currently under development</w:t>
      </w:r>
      <w:r w:rsidR="00A3700A" w:rsidRPr="003E28D4">
        <w:rPr>
          <w:rFonts w:ascii="Calibri"/>
          <w:highlight w:val="yellow"/>
        </w:rPr>
        <w:t>.</w:t>
      </w:r>
      <w:r w:rsidR="00A3700A">
        <w:rPr>
          <w:rFonts w:ascii="Calibri"/>
        </w:rPr>
        <w:t>]</w:t>
      </w:r>
    </w:p>
    <w:p w14:paraId="784423B3" w14:textId="77777777" w:rsidR="001F0242" w:rsidRDefault="001F0242" w:rsidP="00B51A53">
      <w:pPr>
        <w:spacing w:after="120"/>
        <w:ind w:left="120"/>
        <w:jc w:val="both"/>
        <w:rPr>
          <w:rFonts w:ascii="Calibri" w:hAnsi="Calibri"/>
          <w:b/>
        </w:rPr>
      </w:pPr>
    </w:p>
    <w:p w14:paraId="379F7A67" w14:textId="583E3613" w:rsidR="00257C2C" w:rsidRDefault="009E2D12" w:rsidP="00B51A53">
      <w:pPr>
        <w:spacing w:after="120"/>
        <w:ind w:left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§ </w:t>
      </w:r>
      <w:r w:rsidR="00C75D5D">
        <w:rPr>
          <w:rFonts w:ascii="Calibri" w:hAnsi="Calibri"/>
          <w:b/>
        </w:rPr>
        <w:t>50(e)</w:t>
      </w:r>
      <w:r>
        <w:rPr>
          <w:rFonts w:ascii="Calibri" w:hAnsi="Calibri"/>
          <w:b/>
        </w:rPr>
        <w:t xml:space="preserve">. </w:t>
      </w:r>
      <w:r w:rsidR="00C75D5D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BA3C56">
        <w:rPr>
          <w:rFonts w:ascii="Calibri" w:hAnsi="Calibri"/>
          <w:b/>
        </w:rPr>
        <w:t>Performance and c</w:t>
      </w:r>
      <w:r>
        <w:rPr>
          <w:rFonts w:ascii="Calibri" w:hAnsi="Calibri"/>
          <w:b/>
        </w:rPr>
        <w:t>ompliance</w:t>
      </w:r>
      <w:r w:rsidR="00BA3C56">
        <w:rPr>
          <w:rFonts w:ascii="Calibri" w:hAnsi="Calibri"/>
          <w:b/>
        </w:rPr>
        <w:t>.</w:t>
      </w:r>
    </w:p>
    <w:p w14:paraId="7C279B8E" w14:textId="1312A7BB" w:rsidR="00257C2C" w:rsidRDefault="009E2D12" w:rsidP="00337B05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0" w:after="120"/>
        <w:ind w:right="30"/>
        <w:rPr>
          <w:rFonts w:ascii="Calibri"/>
        </w:rPr>
      </w:pPr>
      <w:r>
        <w:rPr>
          <w:rFonts w:ascii="Calibri"/>
        </w:rPr>
        <w:t xml:space="preserve">Inclusionary housing units and developments containing one or more affordable housing unit(s) </w:t>
      </w:r>
      <w:r w:rsidR="00FD10D4">
        <w:rPr>
          <w:rFonts w:ascii="Calibri"/>
        </w:rPr>
        <w:t xml:space="preserve">must </w:t>
      </w:r>
      <w:r>
        <w:rPr>
          <w:rFonts w:ascii="Calibri"/>
        </w:rPr>
        <w:t xml:space="preserve">meet all applicable requirements </w:t>
      </w:r>
      <w:r w:rsidR="00D4787B">
        <w:rPr>
          <w:rFonts w:ascii="Calibri"/>
        </w:rPr>
        <w:t>under the laws of the State of Connecticut.</w:t>
      </w:r>
    </w:p>
    <w:p w14:paraId="16878422" w14:textId="14FC4F07" w:rsidR="00257C2C" w:rsidRDefault="00B618F6" w:rsidP="008D1165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0" w:after="120"/>
        <w:ind w:right="138"/>
        <w:rPr>
          <w:rFonts w:ascii="Calibri"/>
        </w:rPr>
      </w:pPr>
      <w:r>
        <w:rPr>
          <w:rFonts w:ascii="Calibri"/>
        </w:rPr>
        <w:t>All Inclusionary Zoning applications will be formalized with an Affordable Housing Agreement. The Affordable Housing Agreement is required for all Applicable Projects.</w:t>
      </w:r>
      <w:r w:rsidR="00617923">
        <w:rPr>
          <w:rFonts w:ascii="Calibri"/>
        </w:rPr>
        <w:t xml:space="preserve"> The Affordable Housing Agreement must be </w:t>
      </w:r>
      <w:r w:rsidR="009E2D12" w:rsidRPr="008D1165">
        <w:rPr>
          <w:rFonts w:ascii="Calibri"/>
        </w:rPr>
        <w:t xml:space="preserve">to the satisfaction of the </w:t>
      </w:r>
      <w:r w:rsidR="00435111" w:rsidRPr="008D1165">
        <w:rPr>
          <w:rFonts w:ascii="Calibri"/>
        </w:rPr>
        <w:t xml:space="preserve">Director of the </w:t>
      </w:r>
      <w:r w:rsidR="00B01CBF" w:rsidRPr="008D1165">
        <w:rPr>
          <w:rFonts w:ascii="Calibri"/>
        </w:rPr>
        <w:t>Livable City Initiative</w:t>
      </w:r>
      <w:r w:rsidR="00617923">
        <w:rPr>
          <w:rFonts w:ascii="Calibri"/>
        </w:rPr>
        <w:t xml:space="preserve"> before </w:t>
      </w:r>
      <w:r w:rsidR="003E28D4">
        <w:rPr>
          <w:rFonts w:ascii="Calibri"/>
        </w:rPr>
        <w:t>the project</w:t>
      </w:r>
      <w:r w:rsidR="003E28D4">
        <w:rPr>
          <w:rFonts w:ascii="Calibri"/>
        </w:rPr>
        <w:t>’</w:t>
      </w:r>
      <w:r w:rsidR="003E28D4">
        <w:rPr>
          <w:rFonts w:ascii="Calibri"/>
        </w:rPr>
        <w:t xml:space="preserve">s Site Plan Review or Detailed Site Plan Review application is </w:t>
      </w:r>
      <w:r w:rsidR="00617923">
        <w:rPr>
          <w:rFonts w:ascii="Calibri"/>
        </w:rPr>
        <w:t>review</w:t>
      </w:r>
      <w:r w:rsidR="003E28D4">
        <w:rPr>
          <w:rFonts w:ascii="Calibri"/>
        </w:rPr>
        <w:t>ed</w:t>
      </w:r>
      <w:r w:rsidR="00617923">
        <w:rPr>
          <w:rFonts w:ascii="Calibri"/>
        </w:rPr>
        <w:t xml:space="preserve"> by the City Plan Department</w:t>
      </w:r>
      <w:r w:rsidR="009E2D12" w:rsidRPr="008D1165">
        <w:rPr>
          <w:rFonts w:ascii="Calibri"/>
        </w:rPr>
        <w:t>.</w:t>
      </w:r>
    </w:p>
    <w:p w14:paraId="2FBA1BA7" w14:textId="64995B8F" w:rsidR="00AF0C8D" w:rsidRPr="00657301" w:rsidRDefault="009F6A7F" w:rsidP="008D1165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0" w:after="120"/>
        <w:ind w:right="138"/>
        <w:rPr>
          <w:rFonts w:ascii="Calibri"/>
        </w:rPr>
      </w:pPr>
      <w:r>
        <w:rPr>
          <w:rFonts w:ascii="Calibri"/>
        </w:rPr>
        <w:t>All</w:t>
      </w:r>
      <w:r w:rsidR="00EA0CDC">
        <w:rPr>
          <w:rFonts w:ascii="Calibri"/>
        </w:rPr>
        <w:t xml:space="preserve"> Inclusionary Developments will </w:t>
      </w:r>
      <w:r w:rsidR="005928F9">
        <w:rPr>
          <w:rFonts w:ascii="Calibri"/>
        </w:rPr>
        <w:t>comply with tenant screening processes</w:t>
      </w:r>
      <w:r w:rsidR="00FA0806">
        <w:rPr>
          <w:rFonts w:ascii="Calibri"/>
        </w:rPr>
        <w:t xml:space="preserve"> for </w:t>
      </w:r>
      <w:r w:rsidR="00DC6ED3">
        <w:rPr>
          <w:rFonts w:ascii="Calibri"/>
        </w:rPr>
        <w:t xml:space="preserve">available </w:t>
      </w:r>
      <w:r w:rsidR="005C16C4">
        <w:rPr>
          <w:rFonts w:ascii="Calibri"/>
        </w:rPr>
        <w:t>affordable units</w:t>
      </w:r>
      <w:r w:rsidR="005928F9">
        <w:rPr>
          <w:rFonts w:ascii="Calibri"/>
        </w:rPr>
        <w:t xml:space="preserve"> </w:t>
      </w:r>
      <w:r w:rsidR="00FA0806">
        <w:rPr>
          <w:rFonts w:ascii="Calibri"/>
        </w:rPr>
        <w:t xml:space="preserve">as described </w:t>
      </w:r>
      <w:r w:rsidR="005928F9">
        <w:rPr>
          <w:rFonts w:ascii="Calibri"/>
        </w:rPr>
        <w:t xml:space="preserve">in </w:t>
      </w:r>
      <w:r w:rsidR="006500FF">
        <w:rPr>
          <w:rFonts w:ascii="Calibri"/>
        </w:rPr>
        <w:t xml:space="preserve">the </w:t>
      </w:r>
      <w:r w:rsidR="00E57FA7">
        <w:rPr>
          <w:rFonts w:ascii="Calibri" w:hAnsi="Calibri"/>
        </w:rPr>
        <w:t>New Haven Affordable Housing Manual</w:t>
      </w:r>
      <w:r w:rsidR="00F46757">
        <w:rPr>
          <w:rFonts w:ascii="Calibri" w:hAnsi="Calibri"/>
        </w:rPr>
        <w:t xml:space="preserve"> on file with City Plan Department and the Livable City Initiative</w:t>
      </w:r>
      <w:r w:rsidR="00FD1892">
        <w:rPr>
          <w:rFonts w:ascii="Calibri" w:hAnsi="Calibri"/>
        </w:rPr>
        <w:t>.</w:t>
      </w:r>
    </w:p>
    <w:p w14:paraId="4CA145D7" w14:textId="4A46C1FA" w:rsidR="00DC6ED3" w:rsidRPr="008D1165" w:rsidRDefault="004D36F4" w:rsidP="008D1165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0" w:after="120"/>
        <w:ind w:right="138"/>
        <w:rPr>
          <w:rFonts w:ascii="Calibri"/>
        </w:rPr>
      </w:pPr>
      <w:r>
        <w:rPr>
          <w:rFonts w:ascii="Calibri"/>
        </w:rPr>
        <w:t>All Inclusionary Developments will be req</w:t>
      </w:r>
      <w:r w:rsidR="00E73335">
        <w:rPr>
          <w:rFonts w:ascii="Calibri"/>
        </w:rPr>
        <w:t xml:space="preserve">uired to certify </w:t>
      </w:r>
      <w:r w:rsidR="00DD20A3">
        <w:rPr>
          <w:rFonts w:ascii="Calibri"/>
        </w:rPr>
        <w:t xml:space="preserve">compliance, including certification of </w:t>
      </w:r>
      <w:r w:rsidR="00E73335">
        <w:rPr>
          <w:rFonts w:ascii="Calibri"/>
        </w:rPr>
        <w:t xml:space="preserve">incomes of </w:t>
      </w:r>
      <w:r w:rsidR="006500FF">
        <w:rPr>
          <w:rFonts w:ascii="Calibri"/>
        </w:rPr>
        <w:t>tenants in affordable units</w:t>
      </w:r>
      <w:r w:rsidR="00DD20A3">
        <w:rPr>
          <w:rFonts w:ascii="Calibri"/>
        </w:rPr>
        <w:t>,</w:t>
      </w:r>
      <w:r w:rsidR="00A831B4">
        <w:rPr>
          <w:rFonts w:ascii="Calibri"/>
        </w:rPr>
        <w:t xml:space="preserve"> annually</w:t>
      </w:r>
      <w:r w:rsidR="00A82AD6">
        <w:rPr>
          <w:rFonts w:ascii="Calibri"/>
        </w:rPr>
        <w:t xml:space="preserve"> and submit a</w:t>
      </w:r>
      <w:r w:rsidR="00405A35">
        <w:rPr>
          <w:rFonts w:ascii="Calibri"/>
        </w:rPr>
        <w:t xml:space="preserve"> Compliance Report</w:t>
      </w:r>
      <w:r w:rsidR="006500FF">
        <w:rPr>
          <w:rFonts w:ascii="Calibri"/>
        </w:rPr>
        <w:t xml:space="preserve"> </w:t>
      </w:r>
      <w:r w:rsidR="00C01553">
        <w:rPr>
          <w:rFonts w:ascii="Calibri"/>
        </w:rPr>
        <w:t>to the Direct</w:t>
      </w:r>
      <w:r w:rsidR="00281CFB">
        <w:rPr>
          <w:rFonts w:ascii="Calibri"/>
        </w:rPr>
        <w:t>or of the Livable City Initiative</w:t>
      </w:r>
      <w:r w:rsidR="00DC6F78">
        <w:rPr>
          <w:rFonts w:ascii="Calibri"/>
        </w:rPr>
        <w:t>.</w:t>
      </w:r>
      <w:r w:rsidR="00A2621D">
        <w:rPr>
          <w:rFonts w:ascii="Calibri"/>
        </w:rPr>
        <w:t xml:space="preserve"> </w:t>
      </w:r>
      <w:r w:rsidR="00DE59E1">
        <w:rPr>
          <w:rFonts w:ascii="Calibri"/>
        </w:rPr>
        <w:t>Information on i</w:t>
      </w:r>
      <w:r w:rsidR="00D913E8">
        <w:rPr>
          <w:rFonts w:ascii="Calibri"/>
        </w:rPr>
        <w:t>ncome certification processes</w:t>
      </w:r>
      <w:r w:rsidR="00DE59E1">
        <w:rPr>
          <w:rFonts w:ascii="Calibri"/>
        </w:rPr>
        <w:t xml:space="preserve"> and tenant eligibility</w:t>
      </w:r>
      <w:r w:rsidR="00D913E8">
        <w:rPr>
          <w:rFonts w:ascii="Calibri"/>
        </w:rPr>
        <w:t xml:space="preserve"> </w:t>
      </w:r>
      <w:r w:rsidR="00405A35">
        <w:rPr>
          <w:rFonts w:ascii="Calibri"/>
        </w:rPr>
        <w:t>is</w:t>
      </w:r>
      <w:r w:rsidR="00DC6F78">
        <w:rPr>
          <w:rFonts w:ascii="Calibri"/>
        </w:rPr>
        <w:t xml:space="preserve"> </w:t>
      </w:r>
      <w:r w:rsidR="00A2621D">
        <w:rPr>
          <w:rFonts w:ascii="Calibri"/>
        </w:rPr>
        <w:t xml:space="preserve">provided in </w:t>
      </w:r>
      <w:r w:rsidR="006500FF">
        <w:rPr>
          <w:rFonts w:ascii="Calibri"/>
        </w:rPr>
        <w:t xml:space="preserve">the </w:t>
      </w:r>
      <w:r w:rsidR="006500FF">
        <w:rPr>
          <w:rFonts w:ascii="Calibri" w:hAnsi="Calibri"/>
        </w:rPr>
        <w:t>New Haven Affordable Housing Manual</w:t>
      </w:r>
      <w:r w:rsidR="00EF4ABC">
        <w:rPr>
          <w:rFonts w:ascii="Calibri" w:hAnsi="Calibri"/>
        </w:rPr>
        <w:t xml:space="preserve"> and is on file with City Plan Department and the Livable City Initiative</w:t>
      </w:r>
      <w:r w:rsidR="006500FF">
        <w:rPr>
          <w:rFonts w:ascii="Calibri" w:hAnsi="Calibri"/>
        </w:rPr>
        <w:t>.</w:t>
      </w:r>
      <w:r w:rsidR="005E60C0">
        <w:rPr>
          <w:rFonts w:ascii="Calibri" w:hAnsi="Calibri"/>
        </w:rPr>
        <w:t xml:space="preserve"> [</w:t>
      </w:r>
      <w:r w:rsidR="005E60C0" w:rsidRPr="00657301">
        <w:rPr>
          <w:rFonts w:ascii="Calibri" w:hAnsi="Calibri"/>
          <w:highlight w:val="yellow"/>
        </w:rPr>
        <w:t xml:space="preserve">Note: addition of this clause will require development of an </w:t>
      </w:r>
      <w:r w:rsidR="00F20805">
        <w:rPr>
          <w:rFonts w:ascii="Calibri" w:hAnsi="Calibri"/>
          <w:highlight w:val="yellow"/>
        </w:rPr>
        <w:t>Compliance Report</w:t>
      </w:r>
      <w:r w:rsidR="005E60C0" w:rsidRPr="00657301">
        <w:rPr>
          <w:rFonts w:ascii="Calibri" w:hAnsi="Calibri"/>
          <w:highlight w:val="yellow"/>
        </w:rPr>
        <w:t xml:space="preserve"> document</w:t>
      </w:r>
      <w:r w:rsidR="0043708A">
        <w:rPr>
          <w:rFonts w:ascii="Calibri" w:hAnsi="Calibri"/>
        </w:rPr>
        <w:t>]</w:t>
      </w:r>
    </w:p>
    <w:p w14:paraId="1C71CED7" w14:textId="6BE62B7E" w:rsidR="00257C2C" w:rsidRPr="00920663" w:rsidRDefault="009E2D12" w:rsidP="00337B05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0" w:after="120"/>
        <w:ind w:right="30"/>
        <w:rPr>
          <w:rFonts w:ascii="Calibri"/>
        </w:rPr>
      </w:pPr>
      <w:r w:rsidRPr="00920663">
        <w:rPr>
          <w:rFonts w:ascii="Calibri"/>
        </w:rPr>
        <w:t>[</w:t>
      </w:r>
      <w:r w:rsidR="00435111" w:rsidRPr="00920663">
        <w:rPr>
          <w:rFonts w:ascii="Calibri"/>
          <w:highlight w:val="yellow"/>
        </w:rPr>
        <w:t>Additional</w:t>
      </w:r>
      <w:r w:rsidRPr="00920663">
        <w:rPr>
          <w:rFonts w:ascii="Calibri"/>
          <w:highlight w:val="yellow"/>
        </w:rPr>
        <w:t xml:space="preserve"> CPC</w:t>
      </w:r>
      <w:r w:rsidR="00D7008A" w:rsidRPr="00920663">
        <w:rPr>
          <w:rFonts w:ascii="Calibri"/>
          <w:highlight w:val="yellow"/>
        </w:rPr>
        <w:t xml:space="preserve"> review</w:t>
      </w:r>
      <w:r w:rsidR="00435111" w:rsidRPr="00920663">
        <w:rPr>
          <w:rFonts w:ascii="Calibri"/>
          <w:highlight w:val="yellow"/>
        </w:rPr>
        <w:t xml:space="preserve"> criteria.</w:t>
      </w:r>
      <w:r w:rsidRPr="00920663">
        <w:rPr>
          <w:rFonts w:ascii="Calibri"/>
        </w:rPr>
        <w:t>]</w:t>
      </w:r>
    </w:p>
    <w:p w14:paraId="5518D523" w14:textId="77777777" w:rsidR="00257C2C" w:rsidRDefault="00257C2C" w:rsidP="00B51A53">
      <w:pPr>
        <w:pStyle w:val="BodyText"/>
        <w:spacing w:before="0" w:after="120"/>
        <w:ind w:left="0"/>
        <w:rPr>
          <w:rFonts w:ascii="Calibri"/>
          <w:sz w:val="32"/>
        </w:rPr>
      </w:pPr>
    </w:p>
    <w:p w14:paraId="34B5810C" w14:textId="229465DF" w:rsidR="00257C2C" w:rsidRDefault="009E2D12" w:rsidP="00337B05">
      <w:pPr>
        <w:spacing w:after="120"/>
        <w:ind w:left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000857">
        <w:rPr>
          <w:rFonts w:ascii="Calibri" w:hAnsi="Calibri"/>
          <w:b/>
        </w:rPr>
        <w:t>50(f)</w:t>
      </w:r>
      <w:r>
        <w:rPr>
          <w:rFonts w:ascii="Calibri" w:hAnsi="Calibri"/>
          <w:b/>
        </w:rPr>
        <w:t xml:space="preserve">. – Violation, </w:t>
      </w:r>
      <w:proofErr w:type="gramStart"/>
      <w:r>
        <w:rPr>
          <w:rFonts w:ascii="Calibri" w:hAnsi="Calibri"/>
          <w:b/>
        </w:rPr>
        <w:t>default</w:t>
      </w:r>
      <w:proofErr w:type="gramEnd"/>
      <w:r>
        <w:rPr>
          <w:rFonts w:ascii="Calibri" w:hAnsi="Calibri"/>
          <w:b/>
        </w:rPr>
        <w:t xml:space="preserve"> and remedies</w:t>
      </w:r>
    </w:p>
    <w:p w14:paraId="32248154" w14:textId="0551509E" w:rsidR="00257C2C" w:rsidRDefault="009E2D12" w:rsidP="00337B05">
      <w:pPr>
        <w:spacing w:after="120"/>
        <w:ind w:left="120"/>
        <w:jc w:val="both"/>
        <w:rPr>
          <w:rFonts w:ascii="Calibri"/>
        </w:rPr>
      </w:pPr>
      <w:r>
        <w:rPr>
          <w:rFonts w:ascii="Calibri"/>
        </w:rPr>
        <w:t xml:space="preserve">Upon a violation of any of the provisions of the affordable housing agreement, the </w:t>
      </w:r>
      <w:r w:rsidR="00F638CF">
        <w:rPr>
          <w:rFonts w:ascii="Calibri"/>
        </w:rPr>
        <w:t xml:space="preserve">Zoning Enforcement Officer </w:t>
      </w:r>
      <w:r w:rsidR="00BD20F3">
        <w:rPr>
          <w:rFonts w:ascii="Calibri"/>
        </w:rPr>
        <w:t>will</w:t>
      </w:r>
      <w:r>
        <w:rPr>
          <w:rFonts w:ascii="Calibri"/>
        </w:rPr>
        <w:t xml:space="preserve"> give written notice to the developer</w:t>
      </w:r>
      <w:r w:rsidR="007438EF">
        <w:rPr>
          <w:rFonts w:ascii="Calibri"/>
        </w:rPr>
        <w:t xml:space="preserve"> </w:t>
      </w:r>
      <w:r w:rsidR="007438EF" w:rsidRPr="009E11A6">
        <w:rPr>
          <w:rFonts w:ascii="Calibri"/>
        </w:rPr>
        <w:t>or property owner</w:t>
      </w:r>
      <w:r>
        <w:rPr>
          <w:rFonts w:ascii="Calibri"/>
        </w:rPr>
        <w:t xml:space="preserve"> specifying the nature of the violation and require corrective action within a reasonable period of time. If the developer </w:t>
      </w:r>
      <w:r w:rsidR="000236CC">
        <w:rPr>
          <w:rFonts w:ascii="Calibri"/>
        </w:rPr>
        <w:t xml:space="preserve">or property owner </w:t>
      </w:r>
      <w:r>
        <w:rPr>
          <w:rFonts w:ascii="Calibri"/>
        </w:rPr>
        <w:t>does not reply or correct the violation within the time specified, th</w:t>
      </w:r>
      <w:r w:rsidR="00406B5F">
        <w:rPr>
          <w:rFonts w:ascii="Calibri"/>
        </w:rPr>
        <w:t>ey</w:t>
      </w:r>
      <w:r>
        <w:rPr>
          <w:rFonts w:ascii="Calibri"/>
        </w:rPr>
        <w:t xml:space="preserve"> </w:t>
      </w:r>
      <w:r w:rsidR="00BD20F3">
        <w:rPr>
          <w:rFonts w:ascii="Calibri"/>
        </w:rPr>
        <w:t>will</w:t>
      </w:r>
      <w:r>
        <w:rPr>
          <w:rFonts w:ascii="Calibri"/>
        </w:rPr>
        <w:t>, for each and every violation, be fined up to a maximum of $</w:t>
      </w:r>
      <w:r w:rsidR="00D82001">
        <w:rPr>
          <w:rFonts w:ascii="Calibri"/>
        </w:rPr>
        <w:t xml:space="preserve">250 </w:t>
      </w:r>
      <w:r>
        <w:rPr>
          <w:rFonts w:ascii="Calibri"/>
        </w:rPr>
        <w:t>a day that such violation continues after such notice.</w:t>
      </w:r>
      <w:r w:rsidR="00920663">
        <w:rPr>
          <w:rFonts w:ascii="Calibri"/>
        </w:rPr>
        <w:t xml:space="preserve"> </w:t>
      </w:r>
    </w:p>
    <w:p w14:paraId="4AB1E75E" w14:textId="77777777" w:rsidR="00870DB4" w:rsidRDefault="00870DB4" w:rsidP="00337B05">
      <w:pPr>
        <w:spacing w:after="120"/>
        <w:ind w:left="120"/>
        <w:jc w:val="both"/>
        <w:rPr>
          <w:rFonts w:ascii="Calibri" w:hAnsi="Calibri"/>
          <w:b/>
        </w:rPr>
      </w:pPr>
    </w:p>
    <w:p w14:paraId="3D82306F" w14:textId="07E55521" w:rsidR="00257C2C" w:rsidRDefault="009E2D12" w:rsidP="00B51A53">
      <w:pPr>
        <w:spacing w:after="120"/>
        <w:ind w:left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B65CFB">
        <w:rPr>
          <w:rFonts w:ascii="Calibri" w:hAnsi="Calibri"/>
          <w:b/>
        </w:rPr>
        <w:t>50(g)</w:t>
      </w:r>
      <w:r>
        <w:rPr>
          <w:rFonts w:ascii="Calibri" w:hAnsi="Calibri"/>
          <w:b/>
        </w:rPr>
        <w:t>. - Severability.</w:t>
      </w:r>
    </w:p>
    <w:p w14:paraId="7B8F5C35" w14:textId="5A507785" w:rsidR="00257C2C" w:rsidRDefault="009E2D12" w:rsidP="00B51A53">
      <w:pPr>
        <w:spacing w:after="120"/>
        <w:ind w:left="120" w:right="110"/>
        <w:jc w:val="both"/>
      </w:pPr>
      <w:r>
        <w:rPr>
          <w:rFonts w:ascii="Calibri"/>
        </w:rPr>
        <w:t>If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Section,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Subsection,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sentence,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clause,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phrase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portion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Article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reason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held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invalid or unconstitutional by any court of competent jurisdiction, such portion </w:t>
      </w:r>
      <w:r w:rsidR="00FB31D5">
        <w:rPr>
          <w:rFonts w:ascii="Calibri"/>
        </w:rPr>
        <w:t>is</w:t>
      </w:r>
      <w:r>
        <w:rPr>
          <w:rFonts w:ascii="Calibri"/>
        </w:rPr>
        <w:t xml:space="preserve"> deemed a separate, distinct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independent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provision,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holding</w:t>
      </w:r>
      <w:r>
        <w:rPr>
          <w:rFonts w:ascii="Calibri"/>
          <w:spacing w:val="-10"/>
        </w:rPr>
        <w:t xml:space="preserve"> </w:t>
      </w:r>
      <w:r w:rsidR="00FB31D5">
        <w:rPr>
          <w:rFonts w:ascii="Calibri"/>
        </w:rPr>
        <w:t>does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affect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validity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remaining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portions thereof.</w:t>
      </w:r>
    </w:p>
    <w:sectPr w:rsidR="00257C2C" w:rsidSect="005E6C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00" w:right="1350" w:bottom="940" w:left="1320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060E" w14:textId="77777777" w:rsidR="000F5E8D" w:rsidRDefault="000F5E8D">
      <w:r>
        <w:separator/>
      </w:r>
    </w:p>
  </w:endnote>
  <w:endnote w:type="continuationSeparator" w:id="0">
    <w:p w14:paraId="4E0C5433" w14:textId="77777777" w:rsidR="000F5E8D" w:rsidRDefault="000F5E8D">
      <w:r>
        <w:continuationSeparator/>
      </w:r>
    </w:p>
  </w:endnote>
  <w:endnote w:type="continuationNotice" w:id="1">
    <w:p w14:paraId="0CF7DF09" w14:textId="77777777" w:rsidR="000F5E8D" w:rsidRDefault="000F5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2F53" w14:textId="77777777" w:rsidR="00A976EC" w:rsidRDefault="00A9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290B" w14:textId="5D5714BB" w:rsidR="00257C2C" w:rsidRDefault="00930714" w:rsidP="004B4AC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11CB00" wp14:editId="666F77E2">
              <wp:simplePos x="0" y="0"/>
              <wp:positionH relativeFrom="page">
                <wp:posOffset>5600065</wp:posOffset>
              </wp:positionH>
              <wp:positionV relativeFrom="page">
                <wp:posOffset>9454515</wp:posOffset>
              </wp:positionV>
              <wp:extent cx="1336040" cy="1993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022D" w14:textId="056D6B29" w:rsidR="004B4ACB" w:rsidRPr="004B4ACB" w:rsidRDefault="009E2D12" w:rsidP="004B4AC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rFonts w:ascii="Calibri"/>
                              <w:i/>
                            </w:rPr>
                            <w:t>Draft:</w:t>
                          </w:r>
                          <w:r w:rsidR="00AA1342"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 w:rsidR="00AA1342">
                            <w:rPr>
                              <w:rFonts w:ascii="Calibri"/>
                              <w:i/>
                            </w:rPr>
                            <w:fldChar w:fldCharType="begin"/>
                          </w:r>
                          <w:r w:rsidR="00AA1342">
                            <w:rPr>
                              <w:rFonts w:ascii="Calibri" w:hAnsi="Calibri"/>
                              <w:i/>
                            </w:rPr>
                            <w:instrText xml:space="preserve"> DATE \@ "MMMM d, yyyy" </w:instrText>
                          </w:r>
                          <w:r w:rsidR="00AA1342">
                            <w:rPr>
                              <w:rFonts w:ascii="Calibri"/>
                              <w:i/>
                            </w:rPr>
                            <w:fldChar w:fldCharType="separate"/>
                          </w:r>
                          <w:r w:rsidR="0006431E">
                            <w:rPr>
                              <w:rFonts w:ascii="Calibri" w:hAnsi="Calibri"/>
                              <w:i/>
                              <w:noProof/>
                            </w:rPr>
                            <w:t>June 2, 2021</w:t>
                          </w:r>
                          <w:r w:rsidR="00AA1342">
                            <w:rPr>
                              <w:rFonts w:ascii="Calibri"/>
                              <w:i/>
                            </w:rPr>
                            <w:fldChar w:fldCharType="end"/>
                          </w:r>
                          <w:r w:rsidR="00C9205A"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256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1CB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0.95pt;margin-top:744.45pt;width:105.2pt;height:1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t15wEAALYDAAAOAAAAZHJzL2Uyb0RvYy54bWysU9tu2zAMfR+wfxD0vthphmIx4hRdiw4D&#10;uq1Auw9gZNkWZosapcTOvn6UHGfd+lbsRaB5OTw8pDdXY9+JgyZv0JZyucil0FZhZWxTyu9Pd+8+&#10;SOED2Ao6tLqUR+3l1fbtm83gCn2BLXaVJsEg1heDK2UbgiuyzKtW9+AX6LTlYI3UQ+BParKKYGD0&#10;vssu8vwyG5AqR6i09+y9nYJym/DrWqvwra69DqIrJXML6aX07uKbbTdQNASuNepEA17BogdjuekZ&#10;6hYCiD2ZF1C9UYQe67BQ2GdY10bpNANPs8z/meaxBafTLCyOd2eZ/P+DVV8PDyRMxbuTwkLPK3rS&#10;YxAfcRSrqM7gfMFJj47TwsjumBkn9e4e1Q8vLN60YBt9TYRDq6FidstYmT0rnXB8BNkNX7DiNrAP&#10;mIDGmvoIyGIIRuctHc+biVRUbLlaXebvOaQ4tlyvV+u0ugyKudqRD5809iIapSTefEKHw70PkQ0U&#10;c0psZvHOdF3afmf/cnBi9CT2kfBEPYy78aTGDqsjz0E4HRMfPxst0i8pBj6kUvqfeyAtRffZshbx&#10;6maDZmM3G2AVl5YySDGZN2G6zr0j07SMPKlt8Zr1qk0aJQo7sTjx5ONIE54OOV7f8++U9ed32/4G&#10;AAD//wMAUEsDBBQABgAIAAAAIQAmfVOB4QAAAA4BAAAPAAAAZHJzL2Rvd25yZXYueG1sTI/BTsMw&#10;EETvSPyDtUjcqN0UqiTEqSoEJyREGg4cndhNrMbrELtt+Hu2p3Kb1TzNzhSb2Q3sZKZgPUpYLgQw&#10;g63XFjsJX/XbQwosRIVaDR6NhF8TYFPe3hQq1/6MlTntYscoBEOuJPQxjjnnoe2NU2HhR4Pk7f3k&#10;VKRz6rie1JnC3cATIdbcKYv0oVejeelNe9gdnYTtN1av9uej+az2la3rTOD7+iDl/d28fQYWzRyv&#10;MFzqU3UoqVPjj6gDGySk6TIjlIzHNCV1QUSWrIA1pJ4SsQJeFvz/jPIPAAD//wMAUEsBAi0AFAAG&#10;AAgAAAAhALaDOJL+AAAA4QEAABMAAAAAAAAAAAAAAAAAAAAAAFtDb250ZW50X1R5cGVzXS54bWxQ&#10;SwECLQAUAAYACAAAACEAOP0h/9YAAACUAQAACwAAAAAAAAAAAAAAAAAvAQAAX3JlbHMvLnJlbHNQ&#10;SwECLQAUAAYACAAAACEAhV/rdecBAAC2AwAADgAAAAAAAAAAAAAAAAAuAgAAZHJzL2Uyb0RvYy54&#10;bWxQSwECLQAUAAYACAAAACEAJn1TgeEAAAAOAQAADwAAAAAAAAAAAAAAAABBBAAAZHJzL2Rvd25y&#10;ZXYueG1sUEsFBgAAAAAEAAQA8wAAAE8FAAAAAA==&#10;" filled="f" stroked="f">
              <v:textbox inset="0,0,0,0">
                <w:txbxContent>
                  <w:p w14:paraId="6870022D" w14:textId="056D6B29" w:rsidR="004B4ACB" w:rsidRPr="004B4ACB" w:rsidRDefault="009E2D12" w:rsidP="004B4ACB">
                    <w:pPr>
                      <w:spacing w:line="245" w:lineRule="exact"/>
                      <w:ind w:left="20"/>
                    </w:pPr>
                    <w:r>
                      <w:rPr>
                        <w:rFonts w:ascii="Calibri"/>
                        <w:i/>
                      </w:rPr>
                      <w:t>Draft:</w:t>
                    </w:r>
                    <w:r w:rsidR="00AA1342">
                      <w:rPr>
                        <w:rFonts w:ascii="Calibri"/>
                        <w:i/>
                      </w:rPr>
                      <w:t xml:space="preserve"> </w:t>
                    </w:r>
                    <w:r w:rsidR="00AA1342">
                      <w:rPr>
                        <w:rFonts w:ascii="Calibri"/>
                        <w:i/>
                      </w:rPr>
                      <w:fldChar w:fldCharType="begin"/>
                    </w:r>
                    <w:r w:rsidR="00AA1342">
                      <w:rPr>
                        <w:rFonts w:ascii="Calibri" w:hAnsi="Calibri"/>
                        <w:i/>
                      </w:rPr>
                      <w:instrText xml:space="preserve"> DATE \@ "MMMM d, yyyy" </w:instrText>
                    </w:r>
                    <w:r w:rsidR="00AA1342">
                      <w:rPr>
                        <w:rFonts w:ascii="Calibri"/>
                        <w:i/>
                      </w:rPr>
                      <w:fldChar w:fldCharType="separate"/>
                    </w:r>
                    <w:r w:rsidR="0006431E">
                      <w:rPr>
                        <w:rFonts w:ascii="Calibri" w:hAnsi="Calibri"/>
                        <w:i/>
                        <w:noProof/>
                      </w:rPr>
                      <w:t>June 2, 2021</w:t>
                    </w:r>
                    <w:r w:rsidR="00AA1342">
                      <w:rPr>
                        <w:rFonts w:ascii="Calibri"/>
                        <w:i/>
                      </w:rPr>
                      <w:fldChar w:fldCharType="end"/>
                    </w:r>
                    <w:r w:rsidR="00C9205A"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256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6105" w14:textId="77777777" w:rsidR="00A976EC" w:rsidRDefault="00A9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C5C62" w14:textId="77777777" w:rsidR="000F5E8D" w:rsidRDefault="000F5E8D">
      <w:r>
        <w:separator/>
      </w:r>
    </w:p>
  </w:footnote>
  <w:footnote w:type="continuationSeparator" w:id="0">
    <w:p w14:paraId="5A5F5F27" w14:textId="77777777" w:rsidR="000F5E8D" w:rsidRDefault="000F5E8D">
      <w:r>
        <w:continuationSeparator/>
      </w:r>
    </w:p>
  </w:footnote>
  <w:footnote w:type="continuationNotice" w:id="1">
    <w:p w14:paraId="765C7E7D" w14:textId="77777777" w:rsidR="000F5E8D" w:rsidRDefault="000F5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9B1B" w14:textId="77777777" w:rsidR="00A976EC" w:rsidRDefault="00A9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7C28" w14:textId="77777777" w:rsidR="00A976EC" w:rsidRPr="00260779" w:rsidRDefault="00A976EC" w:rsidP="00A976EC">
    <w:pPr>
      <w:spacing w:before="37" w:line="276" w:lineRule="auto"/>
      <w:ind w:right="100"/>
      <w:jc w:val="center"/>
      <w:rPr>
        <w:b/>
        <w:sz w:val="24"/>
        <w:u w:val="thick"/>
      </w:rPr>
    </w:pPr>
    <w:r w:rsidRPr="00260779">
      <w:rPr>
        <w:bCs/>
        <w:sz w:val="24"/>
        <w:u w:val="thick"/>
      </w:rPr>
      <w:t>PETITION FOR AN ORDINANCE TEXT and MAP AMENDMENT TO THE NEW HAVEN ZONING ORDINANCE TO  REQUIRE AND INCENTIVIZE THE INCLUSION OF AFFORDABLE HOUSING UNITS IN MARKET RATE DEVELOPMENT</w:t>
    </w:r>
  </w:p>
  <w:p w14:paraId="5175BA2F" w14:textId="77777777" w:rsidR="00A976EC" w:rsidRPr="00053E01" w:rsidRDefault="00A976EC" w:rsidP="00A976EC">
    <w:pPr>
      <w:spacing w:before="37" w:line="276" w:lineRule="auto"/>
      <w:ind w:right="100"/>
      <w:jc w:val="center"/>
      <w:rPr>
        <w:b/>
        <w:sz w:val="24"/>
        <w:u w:val="thick"/>
      </w:rPr>
    </w:pPr>
  </w:p>
  <w:p w14:paraId="5FF8CF77" w14:textId="78DFEE54" w:rsidR="002E2532" w:rsidRPr="00A976EC" w:rsidRDefault="002E2532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8B1A" w14:textId="77777777" w:rsidR="00A976EC" w:rsidRDefault="00A97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2634"/>
    <w:multiLevelType w:val="hybridMultilevel"/>
    <w:tmpl w:val="C136E43A"/>
    <w:lvl w:ilvl="0" w:tplc="3F6CA6E4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F22D3FE">
      <w:numFmt w:val="bullet"/>
      <w:lvlText w:val="•"/>
      <w:lvlJc w:val="left"/>
      <w:pPr>
        <w:ind w:left="1734" w:hanging="748"/>
      </w:pPr>
      <w:rPr>
        <w:rFonts w:hint="default"/>
      </w:rPr>
    </w:lvl>
    <w:lvl w:ilvl="2" w:tplc="60285FB6">
      <w:numFmt w:val="bullet"/>
      <w:lvlText w:val="•"/>
      <w:lvlJc w:val="left"/>
      <w:pPr>
        <w:ind w:left="2608" w:hanging="748"/>
      </w:pPr>
      <w:rPr>
        <w:rFonts w:hint="default"/>
      </w:rPr>
    </w:lvl>
    <w:lvl w:ilvl="3" w:tplc="23B67E28">
      <w:numFmt w:val="bullet"/>
      <w:lvlText w:val="•"/>
      <w:lvlJc w:val="left"/>
      <w:pPr>
        <w:ind w:left="3482" w:hanging="748"/>
      </w:pPr>
      <w:rPr>
        <w:rFonts w:hint="default"/>
      </w:rPr>
    </w:lvl>
    <w:lvl w:ilvl="4" w:tplc="682CEE6C">
      <w:numFmt w:val="bullet"/>
      <w:lvlText w:val="•"/>
      <w:lvlJc w:val="left"/>
      <w:pPr>
        <w:ind w:left="4356" w:hanging="748"/>
      </w:pPr>
      <w:rPr>
        <w:rFonts w:hint="default"/>
      </w:rPr>
    </w:lvl>
    <w:lvl w:ilvl="5" w:tplc="66FA1292">
      <w:numFmt w:val="bullet"/>
      <w:lvlText w:val="•"/>
      <w:lvlJc w:val="left"/>
      <w:pPr>
        <w:ind w:left="5230" w:hanging="748"/>
      </w:pPr>
      <w:rPr>
        <w:rFonts w:hint="default"/>
      </w:rPr>
    </w:lvl>
    <w:lvl w:ilvl="6" w:tplc="BA2E01D2">
      <w:numFmt w:val="bullet"/>
      <w:lvlText w:val="•"/>
      <w:lvlJc w:val="left"/>
      <w:pPr>
        <w:ind w:left="6104" w:hanging="748"/>
      </w:pPr>
      <w:rPr>
        <w:rFonts w:hint="default"/>
      </w:rPr>
    </w:lvl>
    <w:lvl w:ilvl="7" w:tplc="328EEEC8">
      <w:numFmt w:val="bullet"/>
      <w:lvlText w:val="•"/>
      <w:lvlJc w:val="left"/>
      <w:pPr>
        <w:ind w:left="6978" w:hanging="748"/>
      </w:pPr>
      <w:rPr>
        <w:rFonts w:hint="default"/>
      </w:rPr>
    </w:lvl>
    <w:lvl w:ilvl="8" w:tplc="EF7897F6">
      <w:numFmt w:val="bullet"/>
      <w:lvlText w:val="•"/>
      <w:lvlJc w:val="left"/>
      <w:pPr>
        <w:ind w:left="7852" w:hanging="748"/>
      </w:pPr>
      <w:rPr>
        <w:rFonts w:hint="default"/>
      </w:rPr>
    </w:lvl>
  </w:abstractNum>
  <w:abstractNum w:abstractNumId="1" w15:restartNumberingAfterBreak="0">
    <w:nsid w:val="0F7F2907"/>
    <w:multiLevelType w:val="hybridMultilevel"/>
    <w:tmpl w:val="9064BB9A"/>
    <w:lvl w:ilvl="0" w:tplc="04AC8EE0">
      <w:start w:val="1"/>
      <w:numFmt w:val="decimal"/>
      <w:lvlText w:val="(%1)"/>
      <w:lvlJc w:val="right"/>
      <w:pPr>
        <w:ind w:left="2273" w:hanging="720"/>
      </w:pPr>
      <w:rPr>
        <w:rFonts w:hint="default"/>
        <w:b w:val="0"/>
        <w:i w:val="0"/>
        <w:caps w:val="0"/>
        <w:strike w:val="0"/>
        <w:dstrike w:val="0"/>
        <w:vanish w:val="0"/>
        <w:spacing w:val="-1"/>
        <w:w w:val="100"/>
        <w:sz w:val="22"/>
        <w:szCs w:val="22"/>
        <w:vertAlign w:val="baseline"/>
      </w:rPr>
    </w:lvl>
    <w:lvl w:ilvl="1" w:tplc="6042492A">
      <w:numFmt w:val="bullet"/>
      <w:lvlText w:val="•"/>
      <w:lvlJc w:val="left"/>
      <w:pPr>
        <w:ind w:left="3005" w:hanging="720"/>
      </w:pPr>
      <w:rPr>
        <w:rFonts w:hint="default"/>
      </w:rPr>
    </w:lvl>
    <w:lvl w:ilvl="2" w:tplc="66F8BFD0">
      <w:numFmt w:val="bullet"/>
      <w:lvlText w:val="•"/>
      <w:lvlJc w:val="left"/>
      <w:pPr>
        <w:ind w:left="3737" w:hanging="720"/>
      </w:pPr>
      <w:rPr>
        <w:rFonts w:hint="default"/>
      </w:rPr>
    </w:lvl>
    <w:lvl w:ilvl="3" w:tplc="1A7C7D24">
      <w:numFmt w:val="bullet"/>
      <w:lvlText w:val="•"/>
      <w:lvlJc w:val="left"/>
      <w:pPr>
        <w:ind w:left="4469" w:hanging="720"/>
      </w:pPr>
      <w:rPr>
        <w:rFonts w:hint="default"/>
      </w:rPr>
    </w:lvl>
    <w:lvl w:ilvl="4" w:tplc="4684AEA2">
      <w:numFmt w:val="bullet"/>
      <w:lvlText w:val="•"/>
      <w:lvlJc w:val="left"/>
      <w:pPr>
        <w:ind w:left="5201" w:hanging="720"/>
      </w:pPr>
      <w:rPr>
        <w:rFonts w:hint="default"/>
      </w:rPr>
    </w:lvl>
    <w:lvl w:ilvl="5" w:tplc="0E28847A">
      <w:numFmt w:val="bullet"/>
      <w:lvlText w:val="•"/>
      <w:lvlJc w:val="left"/>
      <w:pPr>
        <w:ind w:left="5933" w:hanging="720"/>
      </w:pPr>
      <w:rPr>
        <w:rFonts w:hint="default"/>
      </w:rPr>
    </w:lvl>
    <w:lvl w:ilvl="6" w:tplc="D58E2A84">
      <w:numFmt w:val="bullet"/>
      <w:lvlText w:val="•"/>
      <w:lvlJc w:val="left"/>
      <w:pPr>
        <w:ind w:left="6665" w:hanging="720"/>
      </w:pPr>
      <w:rPr>
        <w:rFonts w:hint="default"/>
      </w:rPr>
    </w:lvl>
    <w:lvl w:ilvl="7" w:tplc="79C644B0">
      <w:numFmt w:val="bullet"/>
      <w:lvlText w:val="•"/>
      <w:lvlJc w:val="left"/>
      <w:pPr>
        <w:ind w:left="7397" w:hanging="720"/>
      </w:pPr>
      <w:rPr>
        <w:rFonts w:hint="default"/>
      </w:rPr>
    </w:lvl>
    <w:lvl w:ilvl="8" w:tplc="96302EC4">
      <w:numFmt w:val="bullet"/>
      <w:lvlText w:val="•"/>
      <w:lvlJc w:val="left"/>
      <w:pPr>
        <w:ind w:left="8129" w:hanging="720"/>
      </w:pPr>
      <w:rPr>
        <w:rFonts w:hint="default"/>
      </w:rPr>
    </w:lvl>
  </w:abstractNum>
  <w:abstractNum w:abstractNumId="2" w15:restartNumberingAfterBreak="0">
    <w:nsid w:val="1C42387A"/>
    <w:multiLevelType w:val="hybridMultilevel"/>
    <w:tmpl w:val="AD122482"/>
    <w:lvl w:ilvl="0" w:tplc="78168506">
      <w:start w:val="1"/>
      <w:numFmt w:val="upperLetter"/>
      <w:lvlText w:val="%1."/>
      <w:lvlJc w:val="left"/>
      <w:pPr>
        <w:ind w:left="15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F4C56B7"/>
    <w:multiLevelType w:val="hybridMultilevel"/>
    <w:tmpl w:val="E006EC6A"/>
    <w:lvl w:ilvl="0" w:tplc="65B2CE5C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C04B5D0">
      <w:numFmt w:val="bullet"/>
      <w:lvlText w:val="•"/>
      <w:lvlJc w:val="left"/>
      <w:pPr>
        <w:ind w:left="1734" w:hanging="748"/>
      </w:pPr>
      <w:rPr>
        <w:rFonts w:hint="default"/>
      </w:rPr>
    </w:lvl>
    <w:lvl w:ilvl="2" w:tplc="87820AE4">
      <w:numFmt w:val="bullet"/>
      <w:lvlText w:val="•"/>
      <w:lvlJc w:val="left"/>
      <w:pPr>
        <w:ind w:left="2608" w:hanging="748"/>
      </w:pPr>
      <w:rPr>
        <w:rFonts w:hint="default"/>
      </w:rPr>
    </w:lvl>
    <w:lvl w:ilvl="3" w:tplc="08889C7E">
      <w:numFmt w:val="bullet"/>
      <w:lvlText w:val="•"/>
      <w:lvlJc w:val="left"/>
      <w:pPr>
        <w:ind w:left="3482" w:hanging="748"/>
      </w:pPr>
      <w:rPr>
        <w:rFonts w:hint="default"/>
      </w:rPr>
    </w:lvl>
    <w:lvl w:ilvl="4" w:tplc="3A9015F8">
      <w:numFmt w:val="bullet"/>
      <w:lvlText w:val="•"/>
      <w:lvlJc w:val="left"/>
      <w:pPr>
        <w:ind w:left="4356" w:hanging="748"/>
      </w:pPr>
      <w:rPr>
        <w:rFonts w:hint="default"/>
      </w:rPr>
    </w:lvl>
    <w:lvl w:ilvl="5" w:tplc="441C51FA">
      <w:numFmt w:val="bullet"/>
      <w:lvlText w:val="•"/>
      <w:lvlJc w:val="left"/>
      <w:pPr>
        <w:ind w:left="5230" w:hanging="748"/>
      </w:pPr>
      <w:rPr>
        <w:rFonts w:hint="default"/>
      </w:rPr>
    </w:lvl>
    <w:lvl w:ilvl="6" w:tplc="5D6A4962">
      <w:numFmt w:val="bullet"/>
      <w:lvlText w:val="•"/>
      <w:lvlJc w:val="left"/>
      <w:pPr>
        <w:ind w:left="6104" w:hanging="748"/>
      </w:pPr>
      <w:rPr>
        <w:rFonts w:hint="default"/>
      </w:rPr>
    </w:lvl>
    <w:lvl w:ilvl="7" w:tplc="A68601FC">
      <w:numFmt w:val="bullet"/>
      <w:lvlText w:val="•"/>
      <w:lvlJc w:val="left"/>
      <w:pPr>
        <w:ind w:left="6978" w:hanging="748"/>
      </w:pPr>
      <w:rPr>
        <w:rFonts w:hint="default"/>
      </w:rPr>
    </w:lvl>
    <w:lvl w:ilvl="8" w:tplc="7742984E">
      <w:numFmt w:val="bullet"/>
      <w:lvlText w:val="•"/>
      <w:lvlJc w:val="left"/>
      <w:pPr>
        <w:ind w:left="7852" w:hanging="748"/>
      </w:pPr>
      <w:rPr>
        <w:rFonts w:hint="default"/>
      </w:rPr>
    </w:lvl>
  </w:abstractNum>
  <w:abstractNum w:abstractNumId="4" w15:restartNumberingAfterBreak="0">
    <w:nsid w:val="1FC623FB"/>
    <w:multiLevelType w:val="hybridMultilevel"/>
    <w:tmpl w:val="31142B00"/>
    <w:lvl w:ilvl="0" w:tplc="06EA8F3C">
      <w:start w:val="1"/>
      <w:numFmt w:val="lowerLetter"/>
      <w:lvlText w:val="(%1)"/>
      <w:lvlJc w:val="left"/>
      <w:pPr>
        <w:ind w:left="840" w:hanging="72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9670BFF0">
      <w:start w:val="1"/>
      <w:numFmt w:val="decimal"/>
      <w:lvlText w:val="%2."/>
      <w:lvlJc w:val="left"/>
      <w:pPr>
        <w:ind w:left="1242" w:hanging="40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 w:tplc="EBBC5150">
      <w:start w:val="1"/>
      <w:numFmt w:val="lowerRoman"/>
      <w:lvlText w:val="%3."/>
      <w:lvlJc w:val="left"/>
      <w:pPr>
        <w:ind w:left="1802" w:hanging="5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 w:tplc="C49E761E">
      <w:numFmt w:val="bullet"/>
      <w:lvlText w:val="•"/>
      <w:lvlJc w:val="left"/>
      <w:pPr>
        <w:ind w:left="2775" w:hanging="561"/>
      </w:pPr>
      <w:rPr>
        <w:rFonts w:hint="default"/>
      </w:rPr>
    </w:lvl>
    <w:lvl w:ilvl="4" w:tplc="B89A8A94">
      <w:numFmt w:val="bullet"/>
      <w:lvlText w:val="•"/>
      <w:lvlJc w:val="left"/>
      <w:pPr>
        <w:ind w:left="3750" w:hanging="561"/>
      </w:pPr>
      <w:rPr>
        <w:rFonts w:hint="default"/>
      </w:rPr>
    </w:lvl>
    <w:lvl w:ilvl="5" w:tplc="E946C68E">
      <w:numFmt w:val="bullet"/>
      <w:lvlText w:val="•"/>
      <w:lvlJc w:val="left"/>
      <w:pPr>
        <w:ind w:left="4725" w:hanging="561"/>
      </w:pPr>
      <w:rPr>
        <w:rFonts w:hint="default"/>
      </w:rPr>
    </w:lvl>
    <w:lvl w:ilvl="6" w:tplc="E4621FD4">
      <w:numFmt w:val="bullet"/>
      <w:lvlText w:val="•"/>
      <w:lvlJc w:val="left"/>
      <w:pPr>
        <w:ind w:left="5700" w:hanging="561"/>
      </w:pPr>
      <w:rPr>
        <w:rFonts w:hint="default"/>
      </w:rPr>
    </w:lvl>
    <w:lvl w:ilvl="7" w:tplc="8438D75E">
      <w:numFmt w:val="bullet"/>
      <w:lvlText w:val="•"/>
      <w:lvlJc w:val="left"/>
      <w:pPr>
        <w:ind w:left="6675" w:hanging="561"/>
      </w:pPr>
      <w:rPr>
        <w:rFonts w:hint="default"/>
      </w:rPr>
    </w:lvl>
    <w:lvl w:ilvl="8" w:tplc="E34091B0">
      <w:numFmt w:val="bullet"/>
      <w:lvlText w:val="•"/>
      <w:lvlJc w:val="left"/>
      <w:pPr>
        <w:ind w:left="7650" w:hanging="561"/>
      </w:pPr>
      <w:rPr>
        <w:rFonts w:hint="default"/>
      </w:rPr>
    </w:lvl>
  </w:abstractNum>
  <w:abstractNum w:abstractNumId="5" w15:restartNumberingAfterBreak="0">
    <w:nsid w:val="265B1B9F"/>
    <w:multiLevelType w:val="hybridMultilevel"/>
    <w:tmpl w:val="BA8E7118"/>
    <w:lvl w:ilvl="0" w:tplc="3460AFB2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AB2DF1A">
      <w:start w:val="1"/>
      <w:numFmt w:val="decimal"/>
      <w:lvlText w:val="%2."/>
      <w:lvlJc w:val="left"/>
      <w:pPr>
        <w:ind w:left="1242" w:hanging="37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A9300514">
      <w:start w:val="1"/>
      <w:numFmt w:val="lowerRoman"/>
      <w:lvlText w:val="%3."/>
      <w:lvlJc w:val="left"/>
      <w:pPr>
        <w:ind w:left="1802" w:hanging="5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3C4ECEEC">
      <w:start w:val="1"/>
      <w:numFmt w:val="upperLetter"/>
      <w:lvlText w:val="%4."/>
      <w:lvlJc w:val="left"/>
      <w:pPr>
        <w:ind w:left="2176" w:hanging="37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4" w:tplc="CF823F5C">
      <w:numFmt w:val="bullet"/>
      <w:lvlText w:val="•"/>
      <w:lvlJc w:val="left"/>
      <w:pPr>
        <w:ind w:left="3240" w:hanging="374"/>
      </w:pPr>
      <w:rPr>
        <w:rFonts w:hint="default"/>
      </w:rPr>
    </w:lvl>
    <w:lvl w:ilvl="5" w:tplc="05F83C2C">
      <w:numFmt w:val="bullet"/>
      <w:lvlText w:val="•"/>
      <w:lvlJc w:val="left"/>
      <w:pPr>
        <w:ind w:left="4300" w:hanging="374"/>
      </w:pPr>
      <w:rPr>
        <w:rFonts w:hint="default"/>
      </w:rPr>
    </w:lvl>
    <w:lvl w:ilvl="6" w:tplc="AF306CD2">
      <w:numFmt w:val="bullet"/>
      <w:lvlText w:val="•"/>
      <w:lvlJc w:val="left"/>
      <w:pPr>
        <w:ind w:left="5360" w:hanging="374"/>
      </w:pPr>
      <w:rPr>
        <w:rFonts w:hint="default"/>
      </w:rPr>
    </w:lvl>
    <w:lvl w:ilvl="7" w:tplc="21840F40">
      <w:numFmt w:val="bullet"/>
      <w:lvlText w:val="•"/>
      <w:lvlJc w:val="left"/>
      <w:pPr>
        <w:ind w:left="6420" w:hanging="374"/>
      </w:pPr>
      <w:rPr>
        <w:rFonts w:hint="default"/>
      </w:rPr>
    </w:lvl>
    <w:lvl w:ilvl="8" w:tplc="8634EFB4">
      <w:numFmt w:val="bullet"/>
      <w:lvlText w:val="•"/>
      <w:lvlJc w:val="left"/>
      <w:pPr>
        <w:ind w:left="7480" w:hanging="374"/>
      </w:pPr>
      <w:rPr>
        <w:rFonts w:hint="default"/>
      </w:rPr>
    </w:lvl>
  </w:abstractNum>
  <w:abstractNum w:abstractNumId="6" w15:restartNumberingAfterBreak="0">
    <w:nsid w:val="28F50C4D"/>
    <w:multiLevelType w:val="hybridMultilevel"/>
    <w:tmpl w:val="16B0D114"/>
    <w:lvl w:ilvl="0" w:tplc="8E8ABBAC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390A9598">
      <w:numFmt w:val="bullet"/>
      <w:lvlText w:val="•"/>
      <w:lvlJc w:val="left"/>
      <w:pPr>
        <w:ind w:left="1734" w:hanging="748"/>
      </w:pPr>
      <w:rPr>
        <w:rFonts w:hint="default"/>
      </w:rPr>
    </w:lvl>
    <w:lvl w:ilvl="2" w:tplc="61EAB680">
      <w:numFmt w:val="bullet"/>
      <w:lvlText w:val="•"/>
      <w:lvlJc w:val="left"/>
      <w:pPr>
        <w:ind w:left="2608" w:hanging="748"/>
      </w:pPr>
      <w:rPr>
        <w:rFonts w:hint="default"/>
      </w:rPr>
    </w:lvl>
    <w:lvl w:ilvl="3" w:tplc="028CF984">
      <w:numFmt w:val="bullet"/>
      <w:lvlText w:val="•"/>
      <w:lvlJc w:val="left"/>
      <w:pPr>
        <w:ind w:left="3482" w:hanging="748"/>
      </w:pPr>
      <w:rPr>
        <w:rFonts w:hint="default"/>
      </w:rPr>
    </w:lvl>
    <w:lvl w:ilvl="4" w:tplc="0596B466">
      <w:numFmt w:val="bullet"/>
      <w:lvlText w:val="•"/>
      <w:lvlJc w:val="left"/>
      <w:pPr>
        <w:ind w:left="4356" w:hanging="748"/>
      </w:pPr>
      <w:rPr>
        <w:rFonts w:hint="default"/>
      </w:rPr>
    </w:lvl>
    <w:lvl w:ilvl="5" w:tplc="1C7ACB16">
      <w:numFmt w:val="bullet"/>
      <w:lvlText w:val="•"/>
      <w:lvlJc w:val="left"/>
      <w:pPr>
        <w:ind w:left="5230" w:hanging="748"/>
      </w:pPr>
      <w:rPr>
        <w:rFonts w:hint="default"/>
      </w:rPr>
    </w:lvl>
    <w:lvl w:ilvl="6" w:tplc="9E521FC0">
      <w:numFmt w:val="bullet"/>
      <w:lvlText w:val="•"/>
      <w:lvlJc w:val="left"/>
      <w:pPr>
        <w:ind w:left="6104" w:hanging="748"/>
      </w:pPr>
      <w:rPr>
        <w:rFonts w:hint="default"/>
      </w:rPr>
    </w:lvl>
    <w:lvl w:ilvl="7" w:tplc="7916C078">
      <w:numFmt w:val="bullet"/>
      <w:lvlText w:val="•"/>
      <w:lvlJc w:val="left"/>
      <w:pPr>
        <w:ind w:left="6978" w:hanging="748"/>
      </w:pPr>
      <w:rPr>
        <w:rFonts w:hint="default"/>
      </w:rPr>
    </w:lvl>
    <w:lvl w:ilvl="8" w:tplc="36361D78">
      <w:numFmt w:val="bullet"/>
      <w:lvlText w:val="•"/>
      <w:lvlJc w:val="left"/>
      <w:pPr>
        <w:ind w:left="7852" w:hanging="748"/>
      </w:pPr>
      <w:rPr>
        <w:rFonts w:hint="default"/>
      </w:rPr>
    </w:lvl>
  </w:abstractNum>
  <w:abstractNum w:abstractNumId="7" w15:restartNumberingAfterBreak="0">
    <w:nsid w:val="297C3602"/>
    <w:multiLevelType w:val="hybridMultilevel"/>
    <w:tmpl w:val="7220B24A"/>
    <w:lvl w:ilvl="0" w:tplc="78168506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45479F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5FC7860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837C9EF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D9FE750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A4C7BE0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A6D231E0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A3DEFCBE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EB00B38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8" w15:restartNumberingAfterBreak="0">
    <w:nsid w:val="2DAA7EE2"/>
    <w:multiLevelType w:val="hybridMultilevel"/>
    <w:tmpl w:val="EBC23396"/>
    <w:lvl w:ilvl="0" w:tplc="7C36A700">
      <w:start w:val="1"/>
      <w:numFmt w:val="lowerLetter"/>
      <w:lvlText w:val="(%1)"/>
      <w:lvlJc w:val="left"/>
      <w:pPr>
        <w:ind w:left="840" w:hanging="72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50E864AE">
      <w:start w:val="1"/>
      <w:numFmt w:val="decimal"/>
      <w:lvlText w:val="%2."/>
      <w:lvlJc w:val="left"/>
      <w:pPr>
        <w:ind w:left="840" w:hanging="2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C4E45B4">
      <w:numFmt w:val="bullet"/>
      <w:lvlText w:val="•"/>
      <w:lvlJc w:val="left"/>
      <w:pPr>
        <w:ind w:left="2168" w:hanging="249"/>
      </w:pPr>
      <w:rPr>
        <w:rFonts w:hint="default"/>
      </w:rPr>
    </w:lvl>
    <w:lvl w:ilvl="3" w:tplc="7918F548">
      <w:numFmt w:val="bullet"/>
      <w:lvlText w:val="•"/>
      <w:lvlJc w:val="left"/>
      <w:pPr>
        <w:ind w:left="3097" w:hanging="249"/>
      </w:pPr>
      <w:rPr>
        <w:rFonts w:hint="default"/>
      </w:rPr>
    </w:lvl>
    <w:lvl w:ilvl="4" w:tplc="9418D880">
      <w:numFmt w:val="bullet"/>
      <w:lvlText w:val="•"/>
      <w:lvlJc w:val="left"/>
      <w:pPr>
        <w:ind w:left="4026" w:hanging="249"/>
      </w:pPr>
      <w:rPr>
        <w:rFonts w:hint="default"/>
      </w:rPr>
    </w:lvl>
    <w:lvl w:ilvl="5" w:tplc="26887C54">
      <w:numFmt w:val="bullet"/>
      <w:lvlText w:val="•"/>
      <w:lvlJc w:val="left"/>
      <w:pPr>
        <w:ind w:left="4955" w:hanging="249"/>
      </w:pPr>
      <w:rPr>
        <w:rFonts w:hint="default"/>
      </w:rPr>
    </w:lvl>
    <w:lvl w:ilvl="6" w:tplc="2F682DC2">
      <w:numFmt w:val="bullet"/>
      <w:lvlText w:val="•"/>
      <w:lvlJc w:val="left"/>
      <w:pPr>
        <w:ind w:left="5884" w:hanging="249"/>
      </w:pPr>
      <w:rPr>
        <w:rFonts w:hint="default"/>
      </w:rPr>
    </w:lvl>
    <w:lvl w:ilvl="7" w:tplc="BED8EB8E">
      <w:numFmt w:val="bullet"/>
      <w:lvlText w:val="•"/>
      <w:lvlJc w:val="left"/>
      <w:pPr>
        <w:ind w:left="6813" w:hanging="249"/>
      </w:pPr>
      <w:rPr>
        <w:rFonts w:hint="default"/>
      </w:rPr>
    </w:lvl>
    <w:lvl w:ilvl="8" w:tplc="567AF28E">
      <w:numFmt w:val="bullet"/>
      <w:lvlText w:val="•"/>
      <w:lvlJc w:val="left"/>
      <w:pPr>
        <w:ind w:left="7742" w:hanging="249"/>
      </w:pPr>
      <w:rPr>
        <w:rFonts w:hint="default"/>
      </w:rPr>
    </w:lvl>
  </w:abstractNum>
  <w:abstractNum w:abstractNumId="9" w15:restartNumberingAfterBreak="0">
    <w:nsid w:val="349440A6"/>
    <w:multiLevelType w:val="hybridMultilevel"/>
    <w:tmpl w:val="D1F074FE"/>
    <w:lvl w:ilvl="0" w:tplc="CA465A90">
      <w:start w:val="1"/>
      <w:numFmt w:val="lowerLetter"/>
      <w:lvlText w:val="(%1)"/>
      <w:lvlJc w:val="left"/>
      <w:pPr>
        <w:ind w:left="867" w:hanging="74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36414F6">
      <w:start w:val="1"/>
      <w:numFmt w:val="decimal"/>
      <w:lvlText w:val="%2."/>
      <w:lvlJc w:val="left"/>
      <w:pPr>
        <w:ind w:left="1242" w:hanging="37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7BE0BEF0">
      <w:start w:val="1"/>
      <w:numFmt w:val="lowerRoman"/>
      <w:lvlText w:val="%3."/>
      <w:lvlJc w:val="left"/>
      <w:pPr>
        <w:ind w:left="1802" w:hanging="5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87427134">
      <w:numFmt w:val="bullet"/>
      <w:lvlText w:val="•"/>
      <w:lvlJc w:val="left"/>
      <w:pPr>
        <w:ind w:left="2775" w:hanging="561"/>
      </w:pPr>
      <w:rPr>
        <w:rFonts w:hint="default"/>
      </w:rPr>
    </w:lvl>
    <w:lvl w:ilvl="4" w:tplc="533ED43E">
      <w:numFmt w:val="bullet"/>
      <w:lvlText w:val="•"/>
      <w:lvlJc w:val="left"/>
      <w:pPr>
        <w:ind w:left="3750" w:hanging="561"/>
      </w:pPr>
      <w:rPr>
        <w:rFonts w:hint="default"/>
      </w:rPr>
    </w:lvl>
    <w:lvl w:ilvl="5" w:tplc="DBD27FE8">
      <w:numFmt w:val="bullet"/>
      <w:lvlText w:val="•"/>
      <w:lvlJc w:val="left"/>
      <w:pPr>
        <w:ind w:left="4725" w:hanging="561"/>
      </w:pPr>
      <w:rPr>
        <w:rFonts w:hint="default"/>
      </w:rPr>
    </w:lvl>
    <w:lvl w:ilvl="6" w:tplc="596E67FE">
      <w:numFmt w:val="bullet"/>
      <w:lvlText w:val="•"/>
      <w:lvlJc w:val="left"/>
      <w:pPr>
        <w:ind w:left="5700" w:hanging="561"/>
      </w:pPr>
      <w:rPr>
        <w:rFonts w:hint="default"/>
      </w:rPr>
    </w:lvl>
    <w:lvl w:ilvl="7" w:tplc="D28A8028">
      <w:numFmt w:val="bullet"/>
      <w:lvlText w:val="•"/>
      <w:lvlJc w:val="left"/>
      <w:pPr>
        <w:ind w:left="6675" w:hanging="561"/>
      </w:pPr>
      <w:rPr>
        <w:rFonts w:hint="default"/>
      </w:rPr>
    </w:lvl>
    <w:lvl w:ilvl="8" w:tplc="E80467BA">
      <w:numFmt w:val="bullet"/>
      <w:lvlText w:val="•"/>
      <w:lvlJc w:val="left"/>
      <w:pPr>
        <w:ind w:left="7650" w:hanging="561"/>
      </w:pPr>
      <w:rPr>
        <w:rFonts w:hint="default"/>
      </w:rPr>
    </w:lvl>
  </w:abstractNum>
  <w:abstractNum w:abstractNumId="10" w15:restartNumberingAfterBreak="0">
    <w:nsid w:val="39856AB2"/>
    <w:multiLevelType w:val="hybridMultilevel"/>
    <w:tmpl w:val="D4E25ED2"/>
    <w:lvl w:ilvl="0" w:tplc="2B802A76">
      <w:start w:val="2"/>
      <w:numFmt w:val="decimal"/>
      <w:lvlText w:val="%1."/>
      <w:lvlJc w:val="left"/>
      <w:pPr>
        <w:ind w:left="1242" w:hanging="37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E7CFDF4">
      <w:numFmt w:val="bullet"/>
      <w:lvlText w:val="•"/>
      <w:lvlJc w:val="left"/>
      <w:pPr>
        <w:ind w:left="2076" w:hanging="375"/>
      </w:pPr>
      <w:rPr>
        <w:rFonts w:hint="default"/>
      </w:rPr>
    </w:lvl>
    <w:lvl w:ilvl="2" w:tplc="27DA3A42">
      <w:numFmt w:val="bullet"/>
      <w:lvlText w:val="•"/>
      <w:lvlJc w:val="left"/>
      <w:pPr>
        <w:ind w:left="2912" w:hanging="375"/>
      </w:pPr>
      <w:rPr>
        <w:rFonts w:hint="default"/>
      </w:rPr>
    </w:lvl>
    <w:lvl w:ilvl="3" w:tplc="6F5E046A">
      <w:numFmt w:val="bullet"/>
      <w:lvlText w:val="•"/>
      <w:lvlJc w:val="left"/>
      <w:pPr>
        <w:ind w:left="3748" w:hanging="375"/>
      </w:pPr>
      <w:rPr>
        <w:rFonts w:hint="default"/>
      </w:rPr>
    </w:lvl>
    <w:lvl w:ilvl="4" w:tplc="9D0EBE2C">
      <w:numFmt w:val="bullet"/>
      <w:lvlText w:val="•"/>
      <w:lvlJc w:val="left"/>
      <w:pPr>
        <w:ind w:left="4584" w:hanging="375"/>
      </w:pPr>
      <w:rPr>
        <w:rFonts w:hint="default"/>
      </w:rPr>
    </w:lvl>
    <w:lvl w:ilvl="5" w:tplc="584CF82C">
      <w:numFmt w:val="bullet"/>
      <w:lvlText w:val="•"/>
      <w:lvlJc w:val="left"/>
      <w:pPr>
        <w:ind w:left="5420" w:hanging="375"/>
      </w:pPr>
      <w:rPr>
        <w:rFonts w:hint="default"/>
      </w:rPr>
    </w:lvl>
    <w:lvl w:ilvl="6" w:tplc="48FC4E7C">
      <w:numFmt w:val="bullet"/>
      <w:lvlText w:val="•"/>
      <w:lvlJc w:val="left"/>
      <w:pPr>
        <w:ind w:left="6256" w:hanging="375"/>
      </w:pPr>
      <w:rPr>
        <w:rFonts w:hint="default"/>
      </w:rPr>
    </w:lvl>
    <w:lvl w:ilvl="7" w:tplc="6C50A3B2">
      <w:numFmt w:val="bullet"/>
      <w:lvlText w:val="•"/>
      <w:lvlJc w:val="left"/>
      <w:pPr>
        <w:ind w:left="7092" w:hanging="375"/>
      </w:pPr>
      <w:rPr>
        <w:rFonts w:hint="default"/>
      </w:rPr>
    </w:lvl>
    <w:lvl w:ilvl="8" w:tplc="8D3A8D54">
      <w:numFmt w:val="bullet"/>
      <w:lvlText w:val="•"/>
      <w:lvlJc w:val="left"/>
      <w:pPr>
        <w:ind w:left="7928" w:hanging="375"/>
      </w:pPr>
      <w:rPr>
        <w:rFonts w:hint="default"/>
      </w:rPr>
    </w:lvl>
  </w:abstractNum>
  <w:abstractNum w:abstractNumId="11" w15:restartNumberingAfterBreak="0">
    <w:nsid w:val="40AD7DFE"/>
    <w:multiLevelType w:val="hybridMultilevel"/>
    <w:tmpl w:val="AE20901A"/>
    <w:lvl w:ilvl="0" w:tplc="CB0E94D8">
      <w:start w:val="4"/>
      <w:numFmt w:val="lowerLetter"/>
      <w:lvlText w:val="(%1)"/>
      <w:lvlJc w:val="left"/>
      <w:pPr>
        <w:ind w:left="867" w:hanging="688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8BA8187A">
      <w:numFmt w:val="bullet"/>
      <w:lvlText w:val="•"/>
      <w:lvlJc w:val="left"/>
      <w:pPr>
        <w:ind w:left="1734" w:hanging="688"/>
      </w:pPr>
      <w:rPr>
        <w:rFonts w:hint="default"/>
      </w:rPr>
    </w:lvl>
    <w:lvl w:ilvl="2" w:tplc="4838E420">
      <w:numFmt w:val="bullet"/>
      <w:lvlText w:val="•"/>
      <w:lvlJc w:val="left"/>
      <w:pPr>
        <w:ind w:left="2608" w:hanging="688"/>
      </w:pPr>
      <w:rPr>
        <w:rFonts w:hint="default"/>
      </w:rPr>
    </w:lvl>
    <w:lvl w:ilvl="3" w:tplc="1BC22C6A">
      <w:numFmt w:val="bullet"/>
      <w:lvlText w:val="•"/>
      <w:lvlJc w:val="left"/>
      <w:pPr>
        <w:ind w:left="3482" w:hanging="688"/>
      </w:pPr>
      <w:rPr>
        <w:rFonts w:hint="default"/>
      </w:rPr>
    </w:lvl>
    <w:lvl w:ilvl="4" w:tplc="5D4E0F2E">
      <w:numFmt w:val="bullet"/>
      <w:lvlText w:val="•"/>
      <w:lvlJc w:val="left"/>
      <w:pPr>
        <w:ind w:left="4356" w:hanging="688"/>
      </w:pPr>
      <w:rPr>
        <w:rFonts w:hint="default"/>
      </w:rPr>
    </w:lvl>
    <w:lvl w:ilvl="5" w:tplc="9CF87B60">
      <w:numFmt w:val="bullet"/>
      <w:lvlText w:val="•"/>
      <w:lvlJc w:val="left"/>
      <w:pPr>
        <w:ind w:left="5230" w:hanging="688"/>
      </w:pPr>
      <w:rPr>
        <w:rFonts w:hint="default"/>
      </w:rPr>
    </w:lvl>
    <w:lvl w:ilvl="6" w:tplc="729E9B4E">
      <w:numFmt w:val="bullet"/>
      <w:lvlText w:val="•"/>
      <w:lvlJc w:val="left"/>
      <w:pPr>
        <w:ind w:left="6104" w:hanging="688"/>
      </w:pPr>
      <w:rPr>
        <w:rFonts w:hint="default"/>
      </w:rPr>
    </w:lvl>
    <w:lvl w:ilvl="7" w:tplc="828A8CC8">
      <w:numFmt w:val="bullet"/>
      <w:lvlText w:val="•"/>
      <w:lvlJc w:val="left"/>
      <w:pPr>
        <w:ind w:left="6978" w:hanging="688"/>
      </w:pPr>
      <w:rPr>
        <w:rFonts w:hint="default"/>
      </w:rPr>
    </w:lvl>
    <w:lvl w:ilvl="8" w:tplc="3CDE9F1C">
      <w:numFmt w:val="bullet"/>
      <w:lvlText w:val="•"/>
      <w:lvlJc w:val="left"/>
      <w:pPr>
        <w:ind w:left="7852" w:hanging="688"/>
      </w:pPr>
      <w:rPr>
        <w:rFonts w:hint="default"/>
      </w:rPr>
    </w:lvl>
  </w:abstractNum>
  <w:abstractNum w:abstractNumId="12" w15:restartNumberingAfterBreak="0">
    <w:nsid w:val="44495C9B"/>
    <w:multiLevelType w:val="hybridMultilevel"/>
    <w:tmpl w:val="E9EECFCE"/>
    <w:lvl w:ilvl="0" w:tplc="B6AE9FF4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04E04ECC">
      <w:numFmt w:val="bullet"/>
      <w:lvlText w:val="•"/>
      <w:lvlJc w:val="left"/>
      <w:pPr>
        <w:ind w:left="1734" w:hanging="748"/>
      </w:pPr>
      <w:rPr>
        <w:rFonts w:hint="default"/>
      </w:rPr>
    </w:lvl>
    <w:lvl w:ilvl="2" w:tplc="58FACD88">
      <w:numFmt w:val="bullet"/>
      <w:lvlText w:val="•"/>
      <w:lvlJc w:val="left"/>
      <w:pPr>
        <w:ind w:left="2608" w:hanging="748"/>
      </w:pPr>
      <w:rPr>
        <w:rFonts w:hint="default"/>
      </w:rPr>
    </w:lvl>
    <w:lvl w:ilvl="3" w:tplc="8B6E8748">
      <w:numFmt w:val="bullet"/>
      <w:lvlText w:val="•"/>
      <w:lvlJc w:val="left"/>
      <w:pPr>
        <w:ind w:left="3482" w:hanging="748"/>
      </w:pPr>
      <w:rPr>
        <w:rFonts w:hint="default"/>
      </w:rPr>
    </w:lvl>
    <w:lvl w:ilvl="4" w:tplc="7D686B66">
      <w:numFmt w:val="bullet"/>
      <w:lvlText w:val="•"/>
      <w:lvlJc w:val="left"/>
      <w:pPr>
        <w:ind w:left="4356" w:hanging="748"/>
      </w:pPr>
      <w:rPr>
        <w:rFonts w:hint="default"/>
      </w:rPr>
    </w:lvl>
    <w:lvl w:ilvl="5" w:tplc="BD94575A">
      <w:numFmt w:val="bullet"/>
      <w:lvlText w:val="•"/>
      <w:lvlJc w:val="left"/>
      <w:pPr>
        <w:ind w:left="5230" w:hanging="748"/>
      </w:pPr>
      <w:rPr>
        <w:rFonts w:hint="default"/>
      </w:rPr>
    </w:lvl>
    <w:lvl w:ilvl="6" w:tplc="87C04D6A">
      <w:numFmt w:val="bullet"/>
      <w:lvlText w:val="•"/>
      <w:lvlJc w:val="left"/>
      <w:pPr>
        <w:ind w:left="6104" w:hanging="748"/>
      </w:pPr>
      <w:rPr>
        <w:rFonts w:hint="default"/>
      </w:rPr>
    </w:lvl>
    <w:lvl w:ilvl="7" w:tplc="35740890">
      <w:numFmt w:val="bullet"/>
      <w:lvlText w:val="•"/>
      <w:lvlJc w:val="left"/>
      <w:pPr>
        <w:ind w:left="6978" w:hanging="748"/>
      </w:pPr>
      <w:rPr>
        <w:rFonts w:hint="default"/>
      </w:rPr>
    </w:lvl>
    <w:lvl w:ilvl="8" w:tplc="C9F2F088">
      <w:numFmt w:val="bullet"/>
      <w:lvlText w:val="•"/>
      <w:lvlJc w:val="left"/>
      <w:pPr>
        <w:ind w:left="7852" w:hanging="748"/>
      </w:pPr>
      <w:rPr>
        <w:rFonts w:hint="default"/>
      </w:rPr>
    </w:lvl>
  </w:abstractNum>
  <w:abstractNum w:abstractNumId="13" w15:restartNumberingAfterBreak="0">
    <w:nsid w:val="473E5F84"/>
    <w:multiLevelType w:val="hybridMultilevel"/>
    <w:tmpl w:val="21AAB862"/>
    <w:lvl w:ilvl="0" w:tplc="78168506">
      <w:start w:val="1"/>
      <w:numFmt w:val="upperLetter"/>
      <w:lvlText w:val="%1."/>
      <w:lvlJc w:val="left"/>
      <w:pPr>
        <w:ind w:left="156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797"/>
    <w:multiLevelType w:val="hybridMultilevel"/>
    <w:tmpl w:val="64629AEA"/>
    <w:lvl w:ilvl="0" w:tplc="04AC8EE0">
      <w:start w:val="1"/>
      <w:numFmt w:val="decimal"/>
      <w:lvlText w:val="(%1)"/>
      <w:lvlJc w:val="right"/>
      <w:pPr>
        <w:ind w:left="840" w:hanging="720"/>
      </w:pPr>
      <w:rPr>
        <w:rFonts w:hint="default"/>
        <w:b w:val="0"/>
        <w:i w:val="0"/>
        <w:caps w:val="0"/>
        <w:strike w:val="0"/>
        <w:dstrike w:val="0"/>
        <w:vanish w:val="0"/>
        <w:spacing w:val="-1"/>
        <w:w w:val="100"/>
        <w:sz w:val="22"/>
        <w:szCs w:val="22"/>
        <w:vertAlign w:val="baseline"/>
      </w:rPr>
    </w:lvl>
    <w:lvl w:ilvl="1" w:tplc="78168506">
      <w:start w:val="1"/>
      <w:numFmt w:val="upperLetter"/>
      <w:lvlText w:val="%2."/>
      <w:lvlJc w:val="left"/>
      <w:pPr>
        <w:ind w:left="156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BFC3442">
      <w:start w:val="1"/>
      <w:numFmt w:val="lowerRoman"/>
      <w:lvlText w:val="%3."/>
      <w:lvlJc w:val="left"/>
      <w:pPr>
        <w:ind w:left="2280" w:hanging="720"/>
      </w:pPr>
      <w:rPr>
        <w:rFonts w:hint="default"/>
        <w:spacing w:val="-1"/>
        <w:w w:val="100"/>
        <w:sz w:val="22"/>
        <w:szCs w:val="22"/>
      </w:rPr>
    </w:lvl>
    <w:lvl w:ilvl="3" w:tplc="21A4F186">
      <w:numFmt w:val="bullet"/>
      <w:lvlText w:val="•"/>
      <w:lvlJc w:val="left"/>
      <w:pPr>
        <w:ind w:left="3195" w:hanging="720"/>
      </w:pPr>
      <w:rPr>
        <w:rFonts w:hint="default"/>
      </w:rPr>
    </w:lvl>
    <w:lvl w:ilvl="4" w:tplc="3E98A534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35567D56">
      <w:numFmt w:val="bullet"/>
      <w:lvlText w:val="•"/>
      <w:lvlJc w:val="left"/>
      <w:pPr>
        <w:ind w:left="5025" w:hanging="720"/>
      </w:pPr>
      <w:rPr>
        <w:rFonts w:hint="default"/>
      </w:rPr>
    </w:lvl>
    <w:lvl w:ilvl="6" w:tplc="EB84BE02">
      <w:numFmt w:val="bullet"/>
      <w:lvlText w:val="•"/>
      <w:lvlJc w:val="left"/>
      <w:pPr>
        <w:ind w:left="5940" w:hanging="720"/>
      </w:pPr>
      <w:rPr>
        <w:rFonts w:hint="default"/>
      </w:rPr>
    </w:lvl>
    <w:lvl w:ilvl="7" w:tplc="F8AA143A">
      <w:numFmt w:val="bullet"/>
      <w:lvlText w:val="•"/>
      <w:lvlJc w:val="left"/>
      <w:pPr>
        <w:ind w:left="6855" w:hanging="720"/>
      </w:pPr>
      <w:rPr>
        <w:rFonts w:hint="default"/>
      </w:rPr>
    </w:lvl>
    <w:lvl w:ilvl="8" w:tplc="40080260">
      <w:numFmt w:val="bullet"/>
      <w:lvlText w:val="•"/>
      <w:lvlJc w:val="left"/>
      <w:pPr>
        <w:ind w:left="7770" w:hanging="720"/>
      </w:pPr>
      <w:rPr>
        <w:rFonts w:hint="default"/>
      </w:rPr>
    </w:lvl>
  </w:abstractNum>
  <w:abstractNum w:abstractNumId="15" w15:restartNumberingAfterBreak="0">
    <w:nsid w:val="4B3D32BC"/>
    <w:multiLevelType w:val="hybridMultilevel"/>
    <w:tmpl w:val="1E728470"/>
    <w:lvl w:ilvl="0" w:tplc="04AC8EE0">
      <w:start w:val="1"/>
      <w:numFmt w:val="decimal"/>
      <w:lvlText w:val="(%1)"/>
      <w:lvlJc w:val="righ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5">
      <w:start w:val="1"/>
      <w:numFmt w:val="upp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CBB6305"/>
    <w:multiLevelType w:val="hybridMultilevel"/>
    <w:tmpl w:val="00A4CA2C"/>
    <w:lvl w:ilvl="0" w:tplc="8B689D06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9B30F76A">
      <w:numFmt w:val="bullet"/>
      <w:lvlText w:val="•"/>
      <w:lvlJc w:val="left"/>
      <w:pPr>
        <w:ind w:left="1734" w:hanging="748"/>
      </w:pPr>
      <w:rPr>
        <w:rFonts w:hint="default"/>
      </w:rPr>
    </w:lvl>
    <w:lvl w:ilvl="2" w:tplc="24B48680">
      <w:numFmt w:val="bullet"/>
      <w:lvlText w:val="•"/>
      <w:lvlJc w:val="left"/>
      <w:pPr>
        <w:ind w:left="2608" w:hanging="748"/>
      </w:pPr>
      <w:rPr>
        <w:rFonts w:hint="default"/>
      </w:rPr>
    </w:lvl>
    <w:lvl w:ilvl="3" w:tplc="44643D30">
      <w:numFmt w:val="bullet"/>
      <w:lvlText w:val="•"/>
      <w:lvlJc w:val="left"/>
      <w:pPr>
        <w:ind w:left="3482" w:hanging="748"/>
      </w:pPr>
      <w:rPr>
        <w:rFonts w:hint="default"/>
      </w:rPr>
    </w:lvl>
    <w:lvl w:ilvl="4" w:tplc="DEA26A26">
      <w:numFmt w:val="bullet"/>
      <w:lvlText w:val="•"/>
      <w:lvlJc w:val="left"/>
      <w:pPr>
        <w:ind w:left="4356" w:hanging="748"/>
      </w:pPr>
      <w:rPr>
        <w:rFonts w:hint="default"/>
      </w:rPr>
    </w:lvl>
    <w:lvl w:ilvl="5" w:tplc="AA1ED102">
      <w:numFmt w:val="bullet"/>
      <w:lvlText w:val="•"/>
      <w:lvlJc w:val="left"/>
      <w:pPr>
        <w:ind w:left="5230" w:hanging="748"/>
      </w:pPr>
      <w:rPr>
        <w:rFonts w:hint="default"/>
      </w:rPr>
    </w:lvl>
    <w:lvl w:ilvl="6" w:tplc="C6B49794">
      <w:numFmt w:val="bullet"/>
      <w:lvlText w:val="•"/>
      <w:lvlJc w:val="left"/>
      <w:pPr>
        <w:ind w:left="6104" w:hanging="748"/>
      </w:pPr>
      <w:rPr>
        <w:rFonts w:hint="default"/>
      </w:rPr>
    </w:lvl>
    <w:lvl w:ilvl="7" w:tplc="8F4C0398">
      <w:numFmt w:val="bullet"/>
      <w:lvlText w:val="•"/>
      <w:lvlJc w:val="left"/>
      <w:pPr>
        <w:ind w:left="6978" w:hanging="748"/>
      </w:pPr>
      <w:rPr>
        <w:rFonts w:hint="default"/>
      </w:rPr>
    </w:lvl>
    <w:lvl w:ilvl="8" w:tplc="52FA925A">
      <w:numFmt w:val="bullet"/>
      <w:lvlText w:val="•"/>
      <w:lvlJc w:val="left"/>
      <w:pPr>
        <w:ind w:left="7852" w:hanging="748"/>
      </w:pPr>
      <w:rPr>
        <w:rFonts w:hint="default"/>
      </w:rPr>
    </w:lvl>
  </w:abstractNum>
  <w:abstractNum w:abstractNumId="17" w15:restartNumberingAfterBreak="0">
    <w:nsid w:val="4CF63433"/>
    <w:multiLevelType w:val="hybridMultilevel"/>
    <w:tmpl w:val="845AD9AE"/>
    <w:lvl w:ilvl="0" w:tplc="6AC8191A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41B632C8">
      <w:start w:val="1"/>
      <w:numFmt w:val="decimal"/>
      <w:lvlText w:val="%2."/>
      <w:lvlJc w:val="left"/>
      <w:pPr>
        <w:ind w:left="1242" w:hanging="37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B10E091C">
      <w:numFmt w:val="bullet"/>
      <w:lvlText w:val="•"/>
      <w:lvlJc w:val="left"/>
      <w:pPr>
        <w:ind w:left="2168" w:hanging="375"/>
      </w:pPr>
      <w:rPr>
        <w:rFonts w:hint="default"/>
      </w:rPr>
    </w:lvl>
    <w:lvl w:ilvl="3" w:tplc="ED987D0E">
      <w:numFmt w:val="bullet"/>
      <w:lvlText w:val="•"/>
      <w:lvlJc w:val="left"/>
      <w:pPr>
        <w:ind w:left="3097" w:hanging="375"/>
      </w:pPr>
      <w:rPr>
        <w:rFonts w:hint="default"/>
      </w:rPr>
    </w:lvl>
    <w:lvl w:ilvl="4" w:tplc="F61E69CE">
      <w:numFmt w:val="bullet"/>
      <w:lvlText w:val="•"/>
      <w:lvlJc w:val="left"/>
      <w:pPr>
        <w:ind w:left="4026" w:hanging="375"/>
      </w:pPr>
      <w:rPr>
        <w:rFonts w:hint="default"/>
      </w:rPr>
    </w:lvl>
    <w:lvl w:ilvl="5" w:tplc="8272EAFC">
      <w:numFmt w:val="bullet"/>
      <w:lvlText w:val="•"/>
      <w:lvlJc w:val="left"/>
      <w:pPr>
        <w:ind w:left="4955" w:hanging="375"/>
      </w:pPr>
      <w:rPr>
        <w:rFonts w:hint="default"/>
      </w:rPr>
    </w:lvl>
    <w:lvl w:ilvl="6" w:tplc="64929D08">
      <w:numFmt w:val="bullet"/>
      <w:lvlText w:val="•"/>
      <w:lvlJc w:val="left"/>
      <w:pPr>
        <w:ind w:left="5884" w:hanging="375"/>
      </w:pPr>
      <w:rPr>
        <w:rFonts w:hint="default"/>
      </w:rPr>
    </w:lvl>
    <w:lvl w:ilvl="7" w:tplc="C8342CC4">
      <w:numFmt w:val="bullet"/>
      <w:lvlText w:val="•"/>
      <w:lvlJc w:val="left"/>
      <w:pPr>
        <w:ind w:left="6813" w:hanging="375"/>
      </w:pPr>
      <w:rPr>
        <w:rFonts w:hint="default"/>
      </w:rPr>
    </w:lvl>
    <w:lvl w:ilvl="8" w:tplc="C0A6314C">
      <w:numFmt w:val="bullet"/>
      <w:lvlText w:val="•"/>
      <w:lvlJc w:val="left"/>
      <w:pPr>
        <w:ind w:left="7742" w:hanging="375"/>
      </w:pPr>
      <w:rPr>
        <w:rFonts w:hint="default"/>
      </w:rPr>
    </w:lvl>
  </w:abstractNum>
  <w:abstractNum w:abstractNumId="18" w15:restartNumberingAfterBreak="0">
    <w:nsid w:val="50981A85"/>
    <w:multiLevelType w:val="hybridMultilevel"/>
    <w:tmpl w:val="07466B68"/>
    <w:lvl w:ilvl="0" w:tplc="0E52E34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2FAA838">
      <w:start w:val="1"/>
      <w:numFmt w:val="decimal"/>
      <w:lvlText w:val="%2."/>
      <w:lvlJc w:val="left"/>
      <w:pPr>
        <w:ind w:left="1560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DF4A51C">
      <w:numFmt w:val="bullet"/>
      <w:lvlText w:val="•"/>
      <w:lvlJc w:val="left"/>
      <w:pPr>
        <w:ind w:left="2453" w:hanging="720"/>
      </w:pPr>
      <w:rPr>
        <w:rFonts w:hint="default"/>
      </w:rPr>
    </w:lvl>
    <w:lvl w:ilvl="3" w:tplc="A41EA866">
      <w:numFmt w:val="bullet"/>
      <w:lvlText w:val="•"/>
      <w:lvlJc w:val="left"/>
      <w:pPr>
        <w:ind w:left="3346" w:hanging="720"/>
      </w:pPr>
      <w:rPr>
        <w:rFonts w:hint="default"/>
      </w:rPr>
    </w:lvl>
    <w:lvl w:ilvl="4" w:tplc="C5087424"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142402FE"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2570AE6E">
      <w:numFmt w:val="bullet"/>
      <w:lvlText w:val="•"/>
      <w:lvlJc w:val="left"/>
      <w:pPr>
        <w:ind w:left="6026" w:hanging="720"/>
      </w:pPr>
      <w:rPr>
        <w:rFonts w:hint="default"/>
      </w:rPr>
    </w:lvl>
    <w:lvl w:ilvl="7" w:tplc="1E4C8BC6"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BABC307A">
      <w:numFmt w:val="bullet"/>
      <w:lvlText w:val="•"/>
      <w:lvlJc w:val="left"/>
      <w:pPr>
        <w:ind w:left="7813" w:hanging="720"/>
      </w:pPr>
      <w:rPr>
        <w:rFonts w:hint="default"/>
      </w:rPr>
    </w:lvl>
  </w:abstractNum>
  <w:abstractNum w:abstractNumId="19" w15:restartNumberingAfterBreak="0">
    <w:nsid w:val="51240C85"/>
    <w:multiLevelType w:val="hybridMultilevel"/>
    <w:tmpl w:val="150CC758"/>
    <w:lvl w:ilvl="0" w:tplc="F5344B88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2750B498">
      <w:start w:val="1"/>
      <w:numFmt w:val="decimal"/>
      <w:lvlText w:val="%2."/>
      <w:lvlJc w:val="left"/>
      <w:pPr>
        <w:ind w:left="1242" w:hanging="37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E3A609AC">
      <w:numFmt w:val="bullet"/>
      <w:lvlText w:val="•"/>
      <w:lvlJc w:val="left"/>
      <w:pPr>
        <w:ind w:left="2168" w:hanging="375"/>
      </w:pPr>
      <w:rPr>
        <w:rFonts w:hint="default"/>
      </w:rPr>
    </w:lvl>
    <w:lvl w:ilvl="3" w:tplc="68FCE1DE">
      <w:numFmt w:val="bullet"/>
      <w:lvlText w:val="•"/>
      <w:lvlJc w:val="left"/>
      <w:pPr>
        <w:ind w:left="3097" w:hanging="375"/>
      </w:pPr>
      <w:rPr>
        <w:rFonts w:hint="default"/>
      </w:rPr>
    </w:lvl>
    <w:lvl w:ilvl="4" w:tplc="93521A8A">
      <w:numFmt w:val="bullet"/>
      <w:lvlText w:val="•"/>
      <w:lvlJc w:val="left"/>
      <w:pPr>
        <w:ind w:left="4026" w:hanging="375"/>
      </w:pPr>
      <w:rPr>
        <w:rFonts w:hint="default"/>
      </w:rPr>
    </w:lvl>
    <w:lvl w:ilvl="5" w:tplc="6E0673E8">
      <w:numFmt w:val="bullet"/>
      <w:lvlText w:val="•"/>
      <w:lvlJc w:val="left"/>
      <w:pPr>
        <w:ind w:left="4955" w:hanging="375"/>
      </w:pPr>
      <w:rPr>
        <w:rFonts w:hint="default"/>
      </w:rPr>
    </w:lvl>
    <w:lvl w:ilvl="6" w:tplc="18885852">
      <w:numFmt w:val="bullet"/>
      <w:lvlText w:val="•"/>
      <w:lvlJc w:val="left"/>
      <w:pPr>
        <w:ind w:left="5884" w:hanging="375"/>
      </w:pPr>
      <w:rPr>
        <w:rFonts w:hint="default"/>
      </w:rPr>
    </w:lvl>
    <w:lvl w:ilvl="7" w:tplc="C958C00C">
      <w:numFmt w:val="bullet"/>
      <w:lvlText w:val="•"/>
      <w:lvlJc w:val="left"/>
      <w:pPr>
        <w:ind w:left="6813" w:hanging="375"/>
      </w:pPr>
      <w:rPr>
        <w:rFonts w:hint="default"/>
      </w:rPr>
    </w:lvl>
    <w:lvl w:ilvl="8" w:tplc="29F4DC5A">
      <w:numFmt w:val="bullet"/>
      <w:lvlText w:val="•"/>
      <w:lvlJc w:val="left"/>
      <w:pPr>
        <w:ind w:left="7742" w:hanging="375"/>
      </w:pPr>
      <w:rPr>
        <w:rFonts w:hint="default"/>
      </w:rPr>
    </w:lvl>
  </w:abstractNum>
  <w:abstractNum w:abstractNumId="20" w15:restartNumberingAfterBreak="0">
    <w:nsid w:val="554D2810"/>
    <w:multiLevelType w:val="hybridMultilevel"/>
    <w:tmpl w:val="474E0E3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96B327C"/>
    <w:multiLevelType w:val="hybridMultilevel"/>
    <w:tmpl w:val="17E636EA"/>
    <w:lvl w:ilvl="0" w:tplc="0EECC12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31A1D26"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AADEA5B2"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445E1618"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F154B280"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54965284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12C0ABDC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87D46200"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1B38726E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22" w15:restartNumberingAfterBreak="0">
    <w:nsid w:val="66533C8A"/>
    <w:multiLevelType w:val="hybridMultilevel"/>
    <w:tmpl w:val="EF0C5EC2"/>
    <w:lvl w:ilvl="0" w:tplc="78168506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  <w:i w:val="0"/>
        <w:caps w:val="0"/>
        <w:strike w:val="0"/>
        <w:dstrike w:val="0"/>
        <w:vanish w:val="0"/>
        <w:spacing w:val="-1"/>
        <w:w w:val="100"/>
        <w:sz w:val="22"/>
        <w:szCs w:val="22"/>
        <w:vertAlign w:val="baseline"/>
      </w:rPr>
    </w:lvl>
    <w:lvl w:ilvl="1" w:tplc="0409000F">
      <w:start w:val="1"/>
      <w:numFmt w:val="decimal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1510C74"/>
    <w:multiLevelType w:val="hybridMultilevel"/>
    <w:tmpl w:val="C5561BEE"/>
    <w:lvl w:ilvl="0" w:tplc="EC646AFA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78B05540">
      <w:numFmt w:val="bullet"/>
      <w:lvlText w:val="•"/>
      <w:lvlJc w:val="left"/>
      <w:pPr>
        <w:ind w:left="1734" w:hanging="748"/>
      </w:pPr>
      <w:rPr>
        <w:rFonts w:hint="default"/>
      </w:rPr>
    </w:lvl>
    <w:lvl w:ilvl="2" w:tplc="CBBA38E6">
      <w:numFmt w:val="bullet"/>
      <w:lvlText w:val="•"/>
      <w:lvlJc w:val="left"/>
      <w:pPr>
        <w:ind w:left="2608" w:hanging="748"/>
      </w:pPr>
      <w:rPr>
        <w:rFonts w:hint="default"/>
      </w:rPr>
    </w:lvl>
    <w:lvl w:ilvl="3" w:tplc="48126CB0">
      <w:numFmt w:val="bullet"/>
      <w:lvlText w:val="•"/>
      <w:lvlJc w:val="left"/>
      <w:pPr>
        <w:ind w:left="3482" w:hanging="748"/>
      </w:pPr>
      <w:rPr>
        <w:rFonts w:hint="default"/>
      </w:rPr>
    </w:lvl>
    <w:lvl w:ilvl="4" w:tplc="13B669A4">
      <w:numFmt w:val="bullet"/>
      <w:lvlText w:val="•"/>
      <w:lvlJc w:val="left"/>
      <w:pPr>
        <w:ind w:left="4356" w:hanging="748"/>
      </w:pPr>
      <w:rPr>
        <w:rFonts w:hint="default"/>
      </w:rPr>
    </w:lvl>
    <w:lvl w:ilvl="5" w:tplc="152C8A38">
      <w:numFmt w:val="bullet"/>
      <w:lvlText w:val="•"/>
      <w:lvlJc w:val="left"/>
      <w:pPr>
        <w:ind w:left="5230" w:hanging="748"/>
      </w:pPr>
      <w:rPr>
        <w:rFonts w:hint="default"/>
      </w:rPr>
    </w:lvl>
    <w:lvl w:ilvl="6" w:tplc="315284A8">
      <w:numFmt w:val="bullet"/>
      <w:lvlText w:val="•"/>
      <w:lvlJc w:val="left"/>
      <w:pPr>
        <w:ind w:left="6104" w:hanging="748"/>
      </w:pPr>
      <w:rPr>
        <w:rFonts w:hint="default"/>
      </w:rPr>
    </w:lvl>
    <w:lvl w:ilvl="7" w:tplc="8E3E6A84">
      <w:numFmt w:val="bullet"/>
      <w:lvlText w:val="•"/>
      <w:lvlJc w:val="left"/>
      <w:pPr>
        <w:ind w:left="6978" w:hanging="748"/>
      </w:pPr>
      <w:rPr>
        <w:rFonts w:hint="default"/>
      </w:rPr>
    </w:lvl>
    <w:lvl w:ilvl="8" w:tplc="AA9A826A">
      <w:numFmt w:val="bullet"/>
      <w:lvlText w:val="•"/>
      <w:lvlJc w:val="left"/>
      <w:pPr>
        <w:ind w:left="7852" w:hanging="748"/>
      </w:pPr>
      <w:rPr>
        <w:rFonts w:hint="default"/>
      </w:rPr>
    </w:lvl>
  </w:abstractNum>
  <w:abstractNum w:abstractNumId="24" w15:restartNumberingAfterBreak="0">
    <w:nsid w:val="7AAE27C5"/>
    <w:multiLevelType w:val="hybridMultilevel"/>
    <w:tmpl w:val="B10C97A8"/>
    <w:lvl w:ilvl="0" w:tplc="7B841B16">
      <w:start w:val="1"/>
      <w:numFmt w:val="lowerLetter"/>
      <w:lvlText w:val="(%1)"/>
      <w:lvlJc w:val="left"/>
      <w:pPr>
        <w:ind w:left="867" w:hanging="7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63B0E55E">
      <w:start w:val="1"/>
      <w:numFmt w:val="decimal"/>
      <w:lvlText w:val="%2."/>
      <w:lvlJc w:val="left"/>
      <w:pPr>
        <w:ind w:left="1242" w:hanging="37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040A319C">
      <w:numFmt w:val="bullet"/>
      <w:lvlText w:val="•"/>
      <w:lvlJc w:val="left"/>
      <w:pPr>
        <w:ind w:left="2168" w:hanging="375"/>
      </w:pPr>
      <w:rPr>
        <w:rFonts w:hint="default"/>
      </w:rPr>
    </w:lvl>
    <w:lvl w:ilvl="3" w:tplc="90F0CD56">
      <w:numFmt w:val="bullet"/>
      <w:lvlText w:val="•"/>
      <w:lvlJc w:val="left"/>
      <w:pPr>
        <w:ind w:left="3097" w:hanging="375"/>
      </w:pPr>
      <w:rPr>
        <w:rFonts w:hint="default"/>
      </w:rPr>
    </w:lvl>
    <w:lvl w:ilvl="4" w:tplc="1C485946">
      <w:numFmt w:val="bullet"/>
      <w:lvlText w:val="•"/>
      <w:lvlJc w:val="left"/>
      <w:pPr>
        <w:ind w:left="4026" w:hanging="375"/>
      </w:pPr>
      <w:rPr>
        <w:rFonts w:hint="default"/>
      </w:rPr>
    </w:lvl>
    <w:lvl w:ilvl="5" w:tplc="62D036E0">
      <w:numFmt w:val="bullet"/>
      <w:lvlText w:val="•"/>
      <w:lvlJc w:val="left"/>
      <w:pPr>
        <w:ind w:left="4955" w:hanging="375"/>
      </w:pPr>
      <w:rPr>
        <w:rFonts w:hint="default"/>
      </w:rPr>
    </w:lvl>
    <w:lvl w:ilvl="6" w:tplc="BFEA145A">
      <w:numFmt w:val="bullet"/>
      <w:lvlText w:val="•"/>
      <w:lvlJc w:val="left"/>
      <w:pPr>
        <w:ind w:left="5884" w:hanging="375"/>
      </w:pPr>
      <w:rPr>
        <w:rFonts w:hint="default"/>
      </w:rPr>
    </w:lvl>
    <w:lvl w:ilvl="7" w:tplc="11BC94E2">
      <w:numFmt w:val="bullet"/>
      <w:lvlText w:val="•"/>
      <w:lvlJc w:val="left"/>
      <w:pPr>
        <w:ind w:left="6813" w:hanging="375"/>
      </w:pPr>
      <w:rPr>
        <w:rFonts w:hint="default"/>
      </w:rPr>
    </w:lvl>
    <w:lvl w:ilvl="8" w:tplc="38AEC170">
      <w:numFmt w:val="bullet"/>
      <w:lvlText w:val="•"/>
      <w:lvlJc w:val="left"/>
      <w:pPr>
        <w:ind w:left="7742" w:hanging="375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9"/>
  </w:num>
  <w:num w:numId="5">
    <w:abstractNumId w:val="23"/>
  </w:num>
  <w:num w:numId="6">
    <w:abstractNumId w:val="17"/>
  </w:num>
  <w:num w:numId="7">
    <w:abstractNumId w:val="16"/>
  </w:num>
  <w:num w:numId="8">
    <w:abstractNumId w:val="0"/>
  </w:num>
  <w:num w:numId="9">
    <w:abstractNumId w:val="3"/>
  </w:num>
  <w:num w:numId="10">
    <w:abstractNumId w:val="6"/>
  </w:num>
  <w:num w:numId="11">
    <w:abstractNumId w:val="24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21"/>
  </w:num>
  <w:num w:numId="17">
    <w:abstractNumId w:val="7"/>
  </w:num>
  <w:num w:numId="18">
    <w:abstractNumId w:val="18"/>
  </w:num>
  <w:num w:numId="19">
    <w:abstractNumId w:val="1"/>
  </w:num>
  <w:num w:numId="20">
    <w:abstractNumId w:val="14"/>
  </w:num>
  <w:num w:numId="21">
    <w:abstractNumId w:val="20"/>
  </w:num>
  <w:num w:numId="22">
    <w:abstractNumId w:val="2"/>
  </w:num>
  <w:num w:numId="23">
    <w:abstractNumId w:val="22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2C"/>
    <w:rsid w:val="00000857"/>
    <w:rsid w:val="00002DB0"/>
    <w:rsid w:val="00005FB3"/>
    <w:rsid w:val="0000623D"/>
    <w:rsid w:val="00007472"/>
    <w:rsid w:val="00014E78"/>
    <w:rsid w:val="000236CC"/>
    <w:rsid w:val="0003380B"/>
    <w:rsid w:val="00035621"/>
    <w:rsid w:val="00035668"/>
    <w:rsid w:val="00036119"/>
    <w:rsid w:val="000363D8"/>
    <w:rsid w:val="0003781F"/>
    <w:rsid w:val="000419AF"/>
    <w:rsid w:val="00045941"/>
    <w:rsid w:val="000459E7"/>
    <w:rsid w:val="00047F80"/>
    <w:rsid w:val="00050657"/>
    <w:rsid w:val="0006431E"/>
    <w:rsid w:val="00082FEB"/>
    <w:rsid w:val="00085AF9"/>
    <w:rsid w:val="00085B34"/>
    <w:rsid w:val="000928D2"/>
    <w:rsid w:val="00094706"/>
    <w:rsid w:val="000A26A6"/>
    <w:rsid w:val="000A2C16"/>
    <w:rsid w:val="000C231E"/>
    <w:rsid w:val="000D42AE"/>
    <w:rsid w:val="000E1EC0"/>
    <w:rsid w:val="000E6077"/>
    <w:rsid w:val="000F1CBE"/>
    <w:rsid w:val="000F2004"/>
    <w:rsid w:val="000F3F18"/>
    <w:rsid w:val="000F3F40"/>
    <w:rsid w:val="000F4C9E"/>
    <w:rsid w:val="000F5E8D"/>
    <w:rsid w:val="000F6D2C"/>
    <w:rsid w:val="00102468"/>
    <w:rsid w:val="0010332E"/>
    <w:rsid w:val="00104EE2"/>
    <w:rsid w:val="00110A84"/>
    <w:rsid w:val="00113C10"/>
    <w:rsid w:val="00127B2C"/>
    <w:rsid w:val="00127B9E"/>
    <w:rsid w:val="001344B9"/>
    <w:rsid w:val="00134BA1"/>
    <w:rsid w:val="001379B9"/>
    <w:rsid w:val="00141D3A"/>
    <w:rsid w:val="001433C1"/>
    <w:rsid w:val="00146851"/>
    <w:rsid w:val="00152DE3"/>
    <w:rsid w:val="00153FD1"/>
    <w:rsid w:val="00154759"/>
    <w:rsid w:val="00157335"/>
    <w:rsid w:val="001621CC"/>
    <w:rsid w:val="00162C76"/>
    <w:rsid w:val="00170462"/>
    <w:rsid w:val="001709D7"/>
    <w:rsid w:val="001A20B9"/>
    <w:rsid w:val="001A6611"/>
    <w:rsid w:val="001A7E65"/>
    <w:rsid w:val="001B739E"/>
    <w:rsid w:val="001B7DF8"/>
    <w:rsid w:val="001C2220"/>
    <w:rsid w:val="001C4E16"/>
    <w:rsid w:val="001D09BF"/>
    <w:rsid w:val="001D561D"/>
    <w:rsid w:val="001E0492"/>
    <w:rsid w:val="001E1BA6"/>
    <w:rsid w:val="001E3258"/>
    <w:rsid w:val="001E3A00"/>
    <w:rsid w:val="001E4EAD"/>
    <w:rsid w:val="001F0242"/>
    <w:rsid w:val="00201D35"/>
    <w:rsid w:val="002033DA"/>
    <w:rsid w:val="00205D01"/>
    <w:rsid w:val="00211577"/>
    <w:rsid w:val="002133A1"/>
    <w:rsid w:val="00213A51"/>
    <w:rsid w:val="00216BCB"/>
    <w:rsid w:val="0022312F"/>
    <w:rsid w:val="00223F38"/>
    <w:rsid w:val="00227F02"/>
    <w:rsid w:val="00230C90"/>
    <w:rsid w:val="00231E05"/>
    <w:rsid w:val="0023262E"/>
    <w:rsid w:val="002337C9"/>
    <w:rsid w:val="002404E3"/>
    <w:rsid w:val="0024276E"/>
    <w:rsid w:val="00246C3B"/>
    <w:rsid w:val="002578A2"/>
    <w:rsid w:val="00257C2C"/>
    <w:rsid w:val="00263132"/>
    <w:rsid w:val="0026327F"/>
    <w:rsid w:val="00265CCD"/>
    <w:rsid w:val="002733B9"/>
    <w:rsid w:val="00273F5B"/>
    <w:rsid w:val="00276A75"/>
    <w:rsid w:val="00281CFB"/>
    <w:rsid w:val="00282CF1"/>
    <w:rsid w:val="0028356E"/>
    <w:rsid w:val="00286527"/>
    <w:rsid w:val="00291F44"/>
    <w:rsid w:val="00295AB5"/>
    <w:rsid w:val="00297CF7"/>
    <w:rsid w:val="002A2188"/>
    <w:rsid w:val="002A2C02"/>
    <w:rsid w:val="002A35CC"/>
    <w:rsid w:val="002B2E07"/>
    <w:rsid w:val="002B494C"/>
    <w:rsid w:val="002C0CC3"/>
    <w:rsid w:val="002D0053"/>
    <w:rsid w:val="002D165A"/>
    <w:rsid w:val="002D53F0"/>
    <w:rsid w:val="002D56F0"/>
    <w:rsid w:val="002E2532"/>
    <w:rsid w:val="002F0065"/>
    <w:rsid w:val="002F1EE9"/>
    <w:rsid w:val="002F2B6B"/>
    <w:rsid w:val="002F2B8F"/>
    <w:rsid w:val="002F2F49"/>
    <w:rsid w:val="002F55DC"/>
    <w:rsid w:val="0030553A"/>
    <w:rsid w:val="00314121"/>
    <w:rsid w:val="00314B34"/>
    <w:rsid w:val="00315506"/>
    <w:rsid w:val="0031637A"/>
    <w:rsid w:val="00316804"/>
    <w:rsid w:val="00320BB7"/>
    <w:rsid w:val="00322515"/>
    <w:rsid w:val="00322A12"/>
    <w:rsid w:val="003321B2"/>
    <w:rsid w:val="00334C7F"/>
    <w:rsid w:val="00337B05"/>
    <w:rsid w:val="003469FA"/>
    <w:rsid w:val="0034711C"/>
    <w:rsid w:val="00354D15"/>
    <w:rsid w:val="0035690F"/>
    <w:rsid w:val="00357968"/>
    <w:rsid w:val="00360477"/>
    <w:rsid w:val="00361082"/>
    <w:rsid w:val="0036191D"/>
    <w:rsid w:val="00361A45"/>
    <w:rsid w:val="003676E6"/>
    <w:rsid w:val="003678A0"/>
    <w:rsid w:val="00370AFE"/>
    <w:rsid w:val="00372737"/>
    <w:rsid w:val="003803FB"/>
    <w:rsid w:val="003852D2"/>
    <w:rsid w:val="00387251"/>
    <w:rsid w:val="00391D6D"/>
    <w:rsid w:val="003958D3"/>
    <w:rsid w:val="00397D57"/>
    <w:rsid w:val="003A2F72"/>
    <w:rsid w:val="003B1A24"/>
    <w:rsid w:val="003C2C09"/>
    <w:rsid w:val="003C424E"/>
    <w:rsid w:val="003C4BBE"/>
    <w:rsid w:val="003C4ED3"/>
    <w:rsid w:val="003C7F65"/>
    <w:rsid w:val="003D5F2D"/>
    <w:rsid w:val="003E0A6A"/>
    <w:rsid w:val="003E22B5"/>
    <w:rsid w:val="003E28D4"/>
    <w:rsid w:val="003E36AC"/>
    <w:rsid w:val="003E3D29"/>
    <w:rsid w:val="003E5CE4"/>
    <w:rsid w:val="003E696C"/>
    <w:rsid w:val="003F1BEE"/>
    <w:rsid w:val="003F400B"/>
    <w:rsid w:val="00400DBA"/>
    <w:rsid w:val="0040269C"/>
    <w:rsid w:val="00405A35"/>
    <w:rsid w:val="00406AAC"/>
    <w:rsid w:val="00406B5F"/>
    <w:rsid w:val="004121DF"/>
    <w:rsid w:val="00415717"/>
    <w:rsid w:val="00422C40"/>
    <w:rsid w:val="00424177"/>
    <w:rsid w:val="00433F95"/>
    <w:rsid w:val="00435111"/>
    <w:rsid w:val="0043708A"/>
    <w:rsid w:val="00441B2A"/>
    <w:rsid w:val="004458E3"/>
    <w:rsid w:val="00445C5B"/>
    <w:rsid w:val="00451897"/>
    <w:rsid w:val="0045238E"/>
    <w:rsid w:val="00456E7E"/>
    <w:rsid w:val="0045762A"/>
    <w:rsid w:val="00465227"/>
    <w:rsid w:val="004655F5"/>
    <w:rsid w:val="00470358"/>
    <w:rsid w:val="00472BD1"/>
    <w:rsid w:val="00484A6E"/>
    <w:rsid w:val="00484C60"/>
    <w:rsid w:val="00487845"/>
    <w:rsid w:val="004918B0"/>
    <w:rsid w:val="00491C6D"/>
    <w:rsid w:val="004975A4"/>
    <w:rsid w:val="004A29D4"/>
    <w:rsid w:val="004B1369"/>
    <w:rsid w:val="004B4ACB"/>
    <w:rsid w:val="004C0C27"/>
    <w:rsid w:val="004C658A"/>
    <w:rsid w:val="004D36F4"/>
    <w:rsid w:val="004E3B0C"/>
    <w:rsid w:val="004E3F69"/>
    <w:rsid w:val="004F525F"/>
    <w:rsid w:val="00501EA5"/>
    <w:rsid w:val="00505518"/>
    <w:rsid w:val="005074C3"/>
    <w:rsid w:val="00515B8B"/>
    <w:rsid w:val="00520C52"/>
    <w:rsid w:val="00521A43"/>
    <w:rsid w:val="0052397A"/>
    <w:rsid w:val="0053208E"/>
    <w:rsid w:val="005428EA"/>
    <w:rsid w:val="00543005"/>
    <w:rsid w:val="005432FD"/>
    <w:rsid w:val="00550D01"/>
    <w:rsid w:val="00554560"/>
    <w:rsid w:val="005607B9"/>
    <w:rsid w:val="00576630"/>
    <w:rsid w:val="00582750"/>
    <w:rsid w:val="00585C99"/>
    <w:rsid w:val="005928F9"/>
    <w:rsid w:val="00594E1B"/>
    <w:rsid w:val="00595865"/>
    <w:rsid w:val="00596AA0"/>
    <w:rsid w:val="005B20A4"/>
    <w:rsid w:val="005B39A6"/>
    <w:rsid w:val="005B77C3"/>
    <w:rsid w:val="005B7C8B"/>
    <w:rsid w:val="005C16C4"/>
    <w:rsid w:val="005C1BEB"/>
    <w:rsid w:val="005C3C1A"/>
    <w:rsid w:val="005C4C93"/>
    <w:rsid w:val="005E11FC"/>
    <w:rsid w:val="005E3DAD"/>
    <w:rsid w:val="005E5D1A"/>
    <w:rsid w:val="005E60C0"/>
    <w:rsid w:val="005E6C2C"/>
    <w:rsid w:val="005E7A17"/>
    <w:rsid w:val="005F0AAC"/>
    <w:rsid w:val="005F488E"/>
    <w:rsid w:val="0060277F"/>
    <w:rsid w:val="00603274"/>
    <w:rsid w:val="00604778"/>
    <w:rsid w:val="006059D2"/>
    <w:rsid w:val="0060626C"/>
    <w:rsid w:val="006067BA"/>
    <w:rsid w:val="006078FF"/>
    <w:rsid w:val="00617923"/>
    <w:rsid w:val="00621E1D"/>
    <w:rsid w:val="00630509"/>
    <w:rsid w:val="006313B6"/>
    <w:rsid w:val="00634A12"/>
    <w:rsid w:val="00635828"/>
    <w:rsid w:val="00636C8A"/>
    <w:rsid w:val="006436CF"/>
    <w:rsid w:val="006500FF"/>
    <w:rsid w:val="00651FCD"/>
    <w:rsid w:val="00653C36"/>
    <w:rsid w:val="00657301"/>
    <w:rsid w:val="00657482"/>
    <w:rsid w:val="00662004"/>
    <w:rsid w:val="0066760F"/>
    <w:rsid w:val="0067189C"/>
    <w:rsid w:val="00674145"/>
    <w:rsid w:val="00675575"/>
    <w:rsid w:val="00676A33"/>
    <w:rsid w:val="006777B4"/>
    <w:rsid w:val="006830A8"/>
    <w:rsid w:val="00683D8A"/>
    <w:rsid w:val="00685953"/>
    <w:rsid w:val="006900A4"/>
    <w:rsid w:val="006916CE"/>
    <w:rsid w:val="00693BD8"/>
    <w:rsid w:val="006A1D32"/>
    <w:rsid w:val="006A35CF"/>
    <w:rsid w:val="006A5ED7"/>
    <w:rsid w:val="006A7C23"/>
    <w:rsid w:val="006B413B"/>
    <w:rsid w:val="006B4B97"/>
    <w:rsid w:val="006F2640"/>
    <w:rsid w:val="007004C9"/>
    <w:rsid w:val="00704115"/>
    <w:rsid w:val="00710B24"/>
    <w:rsid w:val="00710C3F"/>
    <w:rsid w:val="00712C5D"/>
    <w:rsid w:val="00717DBB"/>
    <w:rsid w:val="00723185"/>
    <w:rsid w:val="0072712C"/>
    <w:rsid w:val="00731883"/>
    <w:rsid w:val="0073499E"/>
    <w:rsid w:val="007354DC"/>
    <w:rsid w:val="007359AC"/>
    <w:rsid w:val="00740EB5"/>
    <w:rsid w:val="00741669"/>
    <w:rsid w:val="00741C9F"/>
    <w:rsid w:val="00742BD0"/>
    <w:rsid w:val="007438EF"/>
    <w:rsid w:val="00751294"/>
    <w:rsid w:val="0075297C"/>
    <w:rsid w:val="00753017"/>
    <w:rsid w:val="007566BC"/>
    <w:rsid w:val="00757EF5"/>
    <w:rsid w:val="00761986"/>
    <w:rsid w:val="007620E5"/>
    <w:rsid w:val="00765A24"/>
    <w:rsid w:val="00765E0D"/>
    <w:rsid w:val="00767A47"/>
    <w:rsid w:val="00771A7B"/>
    <w:rsid w:val="00775E9B"/>
    <w:rsid w:val="00776848"/>
    <w:rsid w:val="007843C5"/>
    <w:rsid w:val="00791C31"/>
    <w:rsid w:val="00793A7B"/>
    <w:rsid w:val="007948C8"/>
    <w:rsid w:val="00794F73"/>
    <w:rsid w:val="00797519"/>
    <w:rsid w:val="007A2E3F"/>
    <w:rsid w:val="007A2FEF"/>
    <w:rsid w:val="007A3ABF"/>
    <w:rsid w:val="007A7645"/>
    <w:rsid w:val="007B0324"/>
    <w:rsid w:val="007B29ED"/>
    <w:rsid w:val="007B6C62"/>
    <w:rsid w:val="007C03AC"/>
    <w:rsid w:val="007C202E"/>
    <w:rsid w:val="007C2959"/>
    <w:rsid w:val="007C5D60"/>
    <w:rsid w:val="007C74EE"/>
    <w:rsid w:val="007D203F"/>
    <w:rsid w:val="007D55D0"/>
    <w:rsid w:val="007E419E"/>
    <w:rsid w:val="007E7BE9"/>
    <w:rsid w:val="007F0049"/>
    <w:rsid w:val="007F5071"/>
    <w:rsid w:val="007F560F"/>
    <w:rsid w:val="007F642A"/>
    <w:rsid w:val="007F7062"/>
    <w:rsid w:val="007F7F86"/>
    <w:rsid w:val="00801EB7"/>
    <w:rsid w:val="00814397"/>
    <w:rsid w:val="00817C96"/>
    <w:rsid w:val="0082141D"/>
    <w:rsid w:val="00821FB3"/>
    <w:rsid w:val="00823867"/>
    <w:rsid w:val="0083002E"/>
    <w:rsid w:val="00831BB2"/>
    <w:rsid w:val="00833136"/>
    <w:rsid w:val="00835A37"/>
    <w:rsid w:val="0084419E"/>
    <w:rsid w:val="00844B4D"/>
    <w:rsid w:val="00852D49"/>
    <w:rsid w:val="00853844"/>
    <w:rsid w:val="008563A5"/>
    <w:rsid w:val="00856753"/>
    <w:rsid w:val="00862FCF"/>
    <w:rsid w:val="0086615B"/>
    <w:rsid w:val="00867D1C"/>
    <w:rsid w:val="00870DB4"/>
    <w:rsid w:val="00873A97"/>
    <w:rsid w:val="00880EB4"/>
    <w:rsid w:val="00882C3E"/>
    <w:rsid w:val="008837E9"/>
    <w:rsid w:val="008866E5"/>
    <w:rsid w:val="00890BC8"/>
    <w:rsid w:val="008919C0"/>
    <w:rsid w:val="008930AA"/>
    <w:rsid w:val="008943D1"/>
    <w:rsid w:val="00895AF6"/>
    <w:rsid w:val="008A318C"/>
    <w:rsid w:val="008A59F5"/>
    <w:rsid w:val="008B7147"/>
    <w:rsid w:val="008C105D"/>
    <w:rsid w:val="008C3678"/>
    <w:rsid w:val="008D1165"/>
    <w:rsid w:val="008D1261"/>
    <w:rsid w:val="008D7A21"/>
    <w:rsid w:val="008E5DF2"/>
    <w:rsid w:val="008F2B06"/>
    <w:rsid w:val="008F4195"/>
    <w:rsid w:val="008F74DF"/>
    <w:rsid w:val="00906168"/>
    <w:rsid w:val="0091282D"/>
    <w:rsid w:val="00920663"/>
    <w:rsid w:val="00924775"/>
    <w:rsid w:val="00927468"/>
    <w:rsid w:val="00930714"/>
    <w:rsid w:val="00934CB7"/>
    <w:rsid w:val="00940CCB"/>
    <w:rsid w:val="00943FA7"/>
    <w:rsid w:val="00946C7E"/>
    <w:rsid w:val="00946E2D"/>
    <w:rsid w:val="00950A89"/>
    <w:rsid w:val="009516D3"/>
    <w:rsid w:val="0095181C"/>
    <w:rsid w:val="00953F61"/>
    <w:rsid w:val="009554CC"/>
    <w:rsid w:val="00973BFD"/>
    <w:rsid w:val="00976198"/>
    <w:rsid w:val="009763C6"/>
    <w:rsid w:val="009769DF"/>
    <w:rsid w:val="00984604"/>
    <w:rsid w:val="00986429"/>
    <w:rsid w:val="00986E5E"/>
    <w:rsid w:val="00987B30"/>
    <w:rsid w:val="00990067"/>
    <w:rsid w:val="009A095B"/>
    <w:rsid w:val="009A1E99"/>
    <w:rsid w:val="009A2286"/>
    <w:rsid w:val="009A231D"/>
    <w:rsid w:val="009A3311"/>
    <w:rsid w:val="009A5496"/>
    <w:rsid w:val="009B0585"/>
    <w:rsid w:val="009B11C3"/>
    <w:rsid w:val="009C1AE7"/>
    <w:rsid w:val="009D1AD8"/>
    <w:rsid w:val="009E11A6"/>
    <w:rsid w:val="009E1CDA"/>
    <w:rsid w:val="009E2180"/>
    <w:rsid w:val="009E2D12"/>
    <w:rsid w:val="009F00CD"/>
    <w:rsid w:val="009F6A7F"/>
    <w:rsid w:val="00A01256"/>
    <w:rsid w:val="00A109E5"/>
    <w:rsid w:val="00A10EB5"/>
    <w:rsid w:val="00A24D96"/>
    <w:rsid w:val="00A25E2B"/>
    <w:rsid w:val="00A2621D"/>
    <w:rsid w:val="00A320B3"/>
    <w:rsid w:val="00A3495B"/>
    <w:rsid w:val="00A3700A"/>
    <w:rsid w:val="00A43892"/>
    <w:rsid w:val="00A471C6"/>
    <w:rsid w:val="00A51C09"/>
    <w:rsid w:val="00A52A78"/>
    <w:rsid w:val="00A73892"/>
    <w:rsid w:val="00A746EF"/>
    <w:rsid w:val="00A7709A"/>
    <w:rsid w:val="00A810B9"/>
    <w:rsid w:val="00A8258F"/>
    <w:rsid w:val="00A82AD6"/>
    <w:rsid w:val="00A831B4"/>
    <w:rsid w:val="00A922DB"/>
    <w:rsid w:val="00A922E9"/>
    <w:rsid w:val="00A969E0"/>
    <w:rsid w:val="00A976EC"/>
    <w:rsid w:val="00AA1342"/>
    <w:rsid w:val="00AA1B86"/>
    <w:rsid w:val="00AA4712"/>
    <w:rsid w:val="00AA636D"/>
    <w:rsid w:val="00AA79F7"/>
    <w:rsid w:val="00AB2891"/>
    <w:rsid w:val="00AD1656"/>
    <w:rsid w:val="00AD6974"/>
    <w:rsid w:val="00AE1120"/>
    <w:rsid w:val="00AE1245"/>
    <w:rsid w:val="00AE6CD8"/>
    <w:rsid w:val="00AF0A32"/>
    <w:rsid w:val="00AF0C8D"/>
    <w:rsid w:val="00AF1544"/>
    <w:rsid w:val="00AF5F13"/>
    <w:rsid w:val="00B01CBF"/>
    <w:rsid w:val="00B0479A"/>
    <w:rsid w:val="00B04DAE"/>
    <w:rsid w:val="00B1391E"/>
    <w:rsid w:val="00B16EC8"/>
    <w:rsid w:val="00B17B8E"/>
    <w:rsid w:val="00B269E8"/>
    <w:rsid w:val="00B33BD7"/>
    <w:rsid w:val="00B35477"/>
    <w:rsid w:val="00B37832"/>
    <w:rsid w:val="00B37DD9"/>
    <w:rsid w:val="00B42EF7"/>
    <w:rsid w:val="00B47BBF"/>
    <w:rsid w:val="00B50CF5"/>
    <w:rsid w:val="00B51A53"/>
    <w:rsid w:val="00B52AF0"/>
    <w:rsid w:val="00B53F49"/>
    <w:rsid w:val="00B55657"/>
    <w:rsid w:val="00B5668F"/>
    <w:rsid w:val="00B618F6"/>
    <w:rsid w:val="00B642D4"/>
    <w:rsid w:val="00B65AF6"/>
    <w:rsid w:val="00B65CFB"/>
    <w:rsid w:val="00B71185"/>
    <w:rsid w:val="00B72367"/>
    <w:rsid w:val="00B75CED"/>
    <w:rsid w:val="00B77CCF"/>
    <w:rsid w:val="00B81974"/>
    <w:rsid w:val="00B8430C"/>
    <w:rsid w:val="00B851C1"/>
    <w:rsid w:val="00B86BAE"/>
    <w:rsid w:val="00B960CB"/>
    <w:rsid w:val="00B97C1D"/>
    <w:rsid w:val="00BA0A22"/>
    <w:rsid w:val="00BA3C56"/>
    <w:rsid w:val="00BA749E"/>
    <w:rsid w:val="00BB08E7"/>
    <w:rsid w:val="00BB3329"/>
    <w:rsid w:val="00BB3332"/>
    <w:rsid w:val="00BB3A4F"/>
    <w:rsid w:val="00BC48A3"/>
    <w:rsid w:val="00BC4A6A"/>
    <w:rsid w:val="00BD20F3"/>
    <w:rsid w:val="00BD414D"/>
    <w:rsid w:val="00BE0A63"/>
    <w:rsid w:val="00BE3439"/>
    <w:rsid w:val="00BF5279"/>
    <w:rsid w:val="00C01553"/>
    <w:rsid w:val="00C034C3"/>
    <w:rsid w:val="00C11D5B"/>
    <w:rsid w:val="00C15908"/>
    <w:rsid w:val="00C16CD6"/>
    <w:rsid w:val="00C17AE2"/>
    <w:rsid w:val="00C21F8E"/>
    <w:rsid w:val="00C31D8C"/>
    <w:rsid w:val="00C32B67"/>
    <w:rsid w:val="00C331B1"/>
    <w:rsid w:val="00C35BCC"/>
    <w:rsid w:val="00C367F3"/>
    <w:rsid w:val="00C550F5"/>
    <w:rsid w:val="00C64791"/>
    <w:rsid w:val="00C7355A"/>
    <w:rsid w:val="00C75D5D"/>
    <w:rsid w:val="00C77959"/>
    <w:rsid w:val="00C80BA5"/>
    <w:rsid w:val="00C87545"/>
    <w:rsid w:val="00C9205A"/>
    <w:rsid w:val="00C937F6"/>
    <w:rsid w:val="00C95E25"/>
    <w:rsid w:val="00CA59CC"/>
    <w:rsid w:val="00CA77CF"/>
    <w:rsid w:val="00CB3864"/>
    <w:rsid w:val="00CB7F80"/>
    <w:rsid w:val="00CC636E"/>
    <w:rsid w:val="00CD022B"/>
    <w:rsid w:val="00CD1900"/>
    <w:rsid w:val="00CD6D80"/>
    <w:rsid w:val="00CE1482"/>
    <w:rsid w:val="00CE1A8E"/>
    <w:rsid w:val="00CE333F"/>
    <w:rsid w:val="00CE49C0"/>
    <w:rsid w:val="00CF628C"/>
    <w:rsid w:val="00D01710"/>
    <w:rsid w:val="00D10842"/>
    <w:rsid w:val="00D11155"/>
    <w:rsid w:val="00D129D7"/>
    <w:rsid w:val="00D2057C"/>
    <w:rsid w:val="00D21F2B"/>
    <w:rsid w:val="00D22D0F"/>
    <w:rsid w:val="00D37A50"/>
    <w:rsid w:val="00D4787B"/>
    <w:rsid w:val="00D51BE4"/>
    <w:rsid w:val="00D53787"/>
    <w:rsid w:val="00D5611B"/>
    <w:rsid w:val="00D56FE3"/>
    <w:rsid w:val="00D65A94"/>
    <w:rsid w:val="00D7008A"/>
    <w:rsid w:val="00D70FC1"/>
    <w:rsid w:val="00D741EE"/>
    <w:rsid w:val="00D751FF"/>
    <w:rsid w:val="00D75411"/>
    <w:rsid w:val="00D8110D"/>
    <w:rsid w:val="00D82001"/>
    <w:rsid w:val="00D913E8"/>
    <w:rsid w:val="00D974F3"/>
    <w:rsid w:val="00DA149E"/>
    <w:rsid w:val="00DA1F8C"/>
    <w:rsid w:val="00DA2943"/>
    <w:rsid w:val="00DA350F"/>
    <w:rsid w:val="00DA41BB"/>
    <w:rsid w:val="00DA4B24"/>
    <w:rsid w:val="00DA4D68"/>
    <w:rsid w:val="00DB3394"/>
    <w:rsid w:val="00DB5256"/>
    <w:rsid w:val="00DC0D05"/>
    <w:rsid w:val="00DC3D11"/>
    <w:rsid w:val="00DC665D"/>
    <w:rsid w:val="00DC6ED3"/>
    <w:rsid w:val="00DC6F78"/>
    <w:rsid w:val="00DD20A3"/>
    <w:rsid w:val="00DE0FAF"/>
    <w:rsid w:val="00DE3056"/>
    <w:rsid w:val="00DE31E3"/>
    <w:rsid w:val="00DE59E1"/>
    <w:rsid w:val="00DE5A78"/>
    <w:rsid w:val="00DE69B2"/>
    <w:rsid w:val="00DF1DA4"/>
    <w:rsid w:val="00DF3BED"/>
    <w:rsid w:val="00E013B1"/>
    <w:rsid w:val="00E01797"/>
    <w:rsid w:val="00E0542B"/>
    <w:rsid w:val="00E073CF"/>
    <w:rsid w:val="00E12A34"/>
    <w:rsid w:val="00E143B6"/>
    <w:rsid w:val="00E2019F"/>
    <w:rsid w:val="00E205B2"/>
    <w:rsid w:val="00E20AC7"/>
    <w:rsid w:val="00E23C84"/>
    <w:rsid w:val="00E256D9"/>
    <w:rsid w:val="00E41356"/>
    <w:rsid w:val="00E4315E"/>
    <w:rsid w:val="00E46B08"/>
    <w:rsid w:val="00E507BD"/>
    <w:rsid w:val="00E5130D"/>
    <w:rsid w:val="00E56BCB"/>
    <w:rsid w:val="00E57FA7"/>
    <w:rsid w:val="00E65362"/>
    <w:rsid w:val="00E73335"/>
    <w:rsid w:val="00E80C87"/>
    <w:rsid w:val="00E8114B"/>
    <w:rsid w:val="00E81A29"/>
    <w:rsid w:val="00E83A36"/>
    <w:rsid w:val="00E84516"/>
    <w:rsid w:val="00E92359"/>
    <w:rsid w:val="00E93D7B"/>
    <w:rsid w:val="00E93F3B"/>
    <w:rsid w:val="00EA0CDC"/>
    <w:rsid w:val="00EA1EEC"/>
    <w:rsid w:val="00EA203C"/>
    <w:rsid w:val="00EA330C"/>
    <w:rsid w:val="00EA7C59"/>
    <w:rsid w:val="00EB1D6F"/>
    <w:rsid w:val="00EB2427"/>
    <w:rsid w:val="00EB3711"/>
    <w:rsid w:val="00EC62E6"/>
    <w:rsid w:val="00ED6360"/>
    <w:rsid w:val="00EE4F29"/>
    <w:rsid w:val="00EF089A"/>
    <w:rsid w:val="00EF0F42"/>
    <w:rsid w:val="00EF1292"/>
    <w:rsid w:val="00EF4ABC"/>
    <w:rsid w:val="00F01B8A"/>
    <w:rsid w:val="00F04666"/>
    <w:rsid w:val="00F047F9"/>
    <w:rsid w:val="00F05E49"/>
    <w:rsid w:val="00F064EB"/>
    <w:rsid w:val="00F06936"/>
    <w:rsid w:val="00F07609"/>
    <w:rsid w:val="00F07A63"/>
    <w:rsid w:val="00F07C7C"/>
    <w:rsid w:val="00F142C9"/>
    <w:rsid w:val="00F16B1E"/>
    <w:rsid w:val="00F20435"/>
    <w:rsid w:val="00F20805"/>
    <w:rsid w:val="00F2262A"/>
    <w:rsid w:val="00F26944"/>
    <w:rsid w:val="00F33BCD"/>
    <w:rsid w:val="00F35F57"/>
    <w:rsid w:val="00F46757"/>
    <w:rsid w:val="00F50185"/>
    <w:rsid w:val="00F514F5"/>
    <w:rsid w:val="00F5284A"/>
    <w:rsid w:val="00F5505D"/>
    <w:rsid w:val="00F638CF"/>
    <w:rsid w:val="00F700D0"/>
    <w:rsid w:val="00F705C7"/>
    <w:rsid w:val="00F742F2"/>
    <w:rsid w:val="00F74C27"/>
    <w:rsid w:val="00F75833"/>
    <w:rsid w:val="00F775C8"/>
    <w:rsid w:val="00F843F6"/>
    <w:rsid w:val="00F8490F"/>
    <w:rsid w:val="00FA0806"/>
    <w:rsid w:val="00FB28B4"/>
    <w:rsid w:val="00FB31D5"/>
    <w:rsid w:val="00FB68B2"/>
    <w:rsid w:val="00FB7D08"/>
    <w:rsid w:val="00FC1548"/>
    <w:rsid w:val="00FC2552"/>
    <w:rsid w:val="00FD10D4"/>
    <w:rsid w:val="00FD1892"/>
    <w:rsid w:val="00FD2DBC"/>
    <w:rsid w:val="00FD3D68"/>
    <w:rsid w:val="00FD6B51"/>
    <w:rsid w:val="00FE07A4"/>
    <w:rsid w:val="00FE1351"/>
    <w:rsid w:val="00FE263B"/>
    <w:rsid w:val="00FE3293"/>
    <w:rsid w:val="00FF160C"/>
    <w:rsid w:val="00FF342C"/>
    <w:rsid w:val="00FF38F7"/>
    <w:rsid w:val="00FF3B6D"/>
    <w:rsid w:val="3DEFE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56D48"/>
  <w15:docId w15:val="{76D2DF7D-FC86-4680-A77D-9BAF962A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0"/>
      <w:ind w:left="1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6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6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6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7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F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E3"/>
    <w:rPr>
      <w:rFonts w:ascii="Segoe UI" w:eastAsia="Times New Roman" w:hAnsi="Segoe UI" w:cs="Segoe UI"/>
      <w:sz w:val="18"/>
      <w:szCs w:val="18"/>
    </w:rPr>
  </w:style>
  <w:style w:type="character" w:customStyle="1" w:styleId="bdit">
    <w:name w:val="bdit"/>
    <w:basedOn w:val="DefaultParagraphFont"/>
    <w:rsid w:val="003F1BEE"/>
  </w:style>
  <w:style w:type="paragraph" w:styleId="Revision">
    <w:name w:val="Revision"/>
    <w:hidden/>
    <w:uiPriority w:val="99"/>
    <w:semiHidden/>
    <w:rsid w:val="00C21F8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BB332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B332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96874EE47F54EADF5422594E31EE8" ma:contentTypeVersion="4" ma:contentTypeDescription="Create a new document." ma:contentTypeScope="" ma:versionID="fd99e41c523741d99e4e241f181a1d47">
  <xsd:schema xmlns:xsd="http://www.w3.org/2001/XMLSchema" xmlns:xs="http://www.w3.org/2001/XMLSchema" xmlns:p="http://schemas.microsoft.com/office/2006/metadata/properties" xmlns:ns2="bf709a58-1d91-4edb-aa17-64af9b0b9e52" xmlns:ns3="ffd09b56-6a5a-4e4c-a0c9-17c5fd190f52" targetNamespace="http://schemas.microsoft.com/office/2006/metadata/properties" ma:root="true" ma:fieldsID="3a35996d49f18ece9fe35eff4b7fa1d4" ns2:_="" ns3:_="">
    <xsd:import namespace="bf709a58-1d91-4edb-aa17-64af9b0b9e52"/>
    <xsd:import namespace="ffd09b56-6a5a-4e4c-a0c9-17c5fd19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9a58-1d91-4edb-aa17-64af9b0b9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9b56-6a5a-4e4c-a0c9-17c5fd19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41EA3-3EAF-49E1-8170-0E444FEB0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920D7-3FED-4861-B041-47EA04595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09a58-1d91-4edb-aa17-64af9b0b9e52"/>
    <ds:schemaRef ds:uri="ffd09b56-6a5a-4e4c-a0c9-17c5fd190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3039-BD30-4A86-BA9B-86A736CA3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B68DD-85E8-4D5C-9331-93DF42FE2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Marione</dc:creator>
  <cp:lastModifiedBy>Taijah Anderson</cp:lastModifiedBy>
  <cp:revision>2</cp:revision>
  <cp:lastPrinted>2020-07-08T17:03:00Z</cp:lastPrinted>
  <dcterms:created xsi:type="dcterms:W3CDTF">2021-06-02T16:59:00Z</dcterms:created>
  <dcterms:modified xsi:type="dcterms:W3CDTF">2021-06-02T16:59:00Z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2020-06-15T00:00:00Z</vt:filetime>
  </property>
  <property fmtid="{D5CDD505-2E9C-101B-9397-08002B2CF9AE}" pid="5" name="ContentTypeId">
    <vt:lpwstr>0x010100F2B96874EE47F54EADF5422594E31EE8</vt:lpwstr>
  </property>
</Properties>
</file>